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SUDs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w:t>
      </w:r>
      <w:r>
        <w:rPr>
          <w:b/>
          <w:bCs/>
        </w:rPr>
        <w:t xml:space="preserve">collinsTRIPODAIStatementUpdated2024?</w:t>
      </w:r>
      <w:r>
        <w:t xml:space="preserve">)</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Olfson et al., 2022; Pinedo, 2019;</w:t>
      </w:r>
      <w:r>
        <w:t xml:space="preserve"> </w:t>
      </w:r>
      <w:r>
        <w:rPr>
          <w:b/>
          <w:bCs/>
        </w:rPr>
        <w:t xml:space="preserve">martinNeedReceiptSubstance2022?</w:t>
      </w:r>
      <w:r>
        <w:t xml:space="preserve">;</w:t>
      </w:r>
      <w:r>
        <w:t xml:space="preserve"> </w:t>
      </w:r>
      <w:r>
        <w:rPr>
          <w:b/>
          <w:bCs/>
        </w:rPr>
        <w:t xml:space="preserve">xinExploringIntersectionalityStigma2023?</w:t>
      </w:r>
      <w:r>
        <w:t xml:space="preserve">)</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w:t>
      </w:r>
      <w:r>
        <w:rPr>
          <w:b/>
          <w:bCs/>
        </w:rPr>
        <w:t xml:space="preserve">americanpsychiatricassociationDiagnosticStatisticalManual2022?</w:t>
      </w:r>
      <w:r>
        <w:t xml:space="preserve">)</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w:t>
      </w:r>
      <w:r>
        <w:rPr>
          <w:b/>
          <w:bCs/>
        </w:rPr>
        <w:t xml:space="preserve">vandewieleOverlyOptimisticPrediction2021?</w:t>
      </w:r>
      <w:r>
        <w:t xml:space="preserve">)</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correspond to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w:t>
      </w:r>
      <w:r>
        <w:rPr>
          <w:b/>
          <w:bCs/>
        </w:rPr>
        <w:t xml:space="preserve">plattProbabilisticOutputsSupport1999?</w:t>
      </w:r>
      <w:r>
        <w:t xml:space="preserve">)</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62</w:t>
                  </w:r>
                </w:p>
              </w:tc>
              <w:tc>
                <w:tcPr/>
                <w:p>
                  <w:pPr>
                    <w:pStyle w:val="Compact"/>
                    <w:jc w:val="right"/>
                    <w:jc w:val="center"/>
                  </w:pPr>
                  <w:r>
                    <w:t xml:space="preserve">20.9</w:t>
                  </w:r>
                </w:p>
              </w:tc>
            </w:tr>
            <w:tr>
              <w:tc>
                <w:tcPr/>
                <w:p>
                  <w:pPr>
                    <w:pStyle w:val="Compact"/>
                    <w:jc w:val="left"/>
                    <w:jc w:val="center"/>
                  </w:pPr>
                  <w:r>
                    <w:t xml:space="preserve">urban</w:t>
                  </w:r>
                </w:p>
              </w:tc>
              <w:tc>
                <w:tcPr/>
                <w:p>
                  <w:pPr>
                    <w:pStyle w:val="Compact"/>
                    <w:jc w:val="right"/>
                    <w:jc w:val="center"/>
                  </w:pPr>
                  <w:r>
                    <w:t xml:space="preserve">274</w:t>
                  </w:r>
                </w:p>
              </w:tc>
              <w:tc>
                <w:tcPr/>
                <w:p>
                  <w:pPr>
                    <w:pStyle w:val="Compact"/>
                    <w:jc w:val="right"/>
                    <w:jc w:val="center"/>
                  </w:pPr>
                  <w:r>
                    <w:t xml:space="preserve">92.6</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numPr>
          <w:ilvl w:val="0"/>
          <w:numId w:val="1003"/>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3"/>
        </w:numPr>
      </w:pPr>
      <w:r>
        <w:t xml:space="preserve">day of prediction window not important for oud but important for aud (add supplemental figure of lapses by day of week and hour?)</w:t>
      </w:r>
    </w:p>
    <w:p>
      <w:pPr>
        <w:numPr>
          <w:ilvl w:val="0"/>
          <w:numId w:val="1003"/>
        </w:numPr>
      </w:pPr>
      <w:r>
        <w:t xml:space="preserve">When discussing fairness - we don’t look at age. People over 65 is an important group to look at but they were not in our sample</w:t>
      </w:r>
    </w:p>
    <w:p>
      <w:pPr>
        <w:numPr>
          <w:ilvl w:val="0"/>
          <w:numId w:val="1003"/>
        </w:numPr>
      </w:pPr>
      <w:r>
        <w:t xml:space="preserve">Acknowledge fairness differences still exist. Research should look into additional risk factors that may better predict risk of lapse in minority populations.</w:t>
      </w:r>
    </w:p>
    <w:p>
      <w:pPr>
        <w:numPr>
          <w:ilvl w:val="0"/>
          <w:numId w:val="1003"/>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p>
      <w:pPr>
        <w:numPr>
          <w:ilvl w:val="0"/>
          <w:numId w:val="1003"/>
        </w:numPr>
      </w:pPr>
      <w:r>
        <w:t xml:space="preserve">Although, classification and clinical utility are two other important domains for evaluating a model intended to make or inform a decision (e.g., whether to send a support message to an individual). In applications of our model there would be no decision to be made. Every day an individual would receive a message regardless of their lapse risk, equivalent to a treat all condition. Therefore, we have constrained our evaluation to focus on the probability estimates for evaluating performance.</w:t>
      </w:r>
      <w:r>
        <w:t xml:space="preserve"> </w:t>
      </w:r>
    </w:p>
    <w:p>
      <w:pPr>
        <w:numPr>
          <w:ilvl w:val="0"/>
          <w:numId w:val="1003"/>
        </w:numPr>
      </w:pPr>
      <w:r>
        <w:t xml:space="preserve">Optimal thresholds depend on the setting, outcome prevalence, and the relative costs of misclassification, and should be addressed separately from discrimination evaluation (e.g., with a decision curve analysis).</w:t>
      </w:r>
      <w:r>
        <w:t xml:space="preserve"> </w:t>
      </w:r>
    </w:p>
    <w:p>
      <w:pPr>
        <w:numPr>
          <w:ilvl w:val="0"/>
          <w:numId w:val="1003"/>
        </w:numPr>
      </w:pPr>
      <w:r>
        <w:t xml:space="preserve">Discussion about GPS data. No evidence that geolocation offered incremental predictive value. Hard to get. With better sensing features could be more important. 12% of gps features were imputed as median. Low leverage for predictions.</w:t>
      </w:r>
    </w:p>
    <w:p>
      <w:pPr>
        <w:numPr>
          <w:ilvl w:val="0"/>
          <w:numId w:val="1003"/>
        </w:numPr>
      </w:pPr>
      <w:r>
        <w:t xml:space="preserve">If all you care about is prediction, you don’t need gps. If you desire a more nuanced understanding of risk across a more diverse array of risk features than gps is helpful.</w:t>
      </w:r>
    </w:p>
    <w:p>
      <w:pPr>
        <w:numPr>
          <w:ilvl w:val="0"/>
          <w:numId w:val="1003"/>
        </w:numPr>
      </w:pPr>
      <w:r>
        <w:t xml:space="preserve">GPS may be better if we did not rely on only known locations but could passively contextualize locations. May be better with more robust sensing methods.</w:t>
      </w:r>
    </w:p>
    <w:p>
      <w:pPr>
        <w:numPr>
          <w:ilvl w:val="0"/>
          <w:numId w:val="1003"/>
        </w:numPr>
      </w:pPr>
      <w:r>
        <w:t xml:space="preserve">Overall, GPS didn’t hurt predictions but also didn’t add any value above and beyond daily surveys. Appears to overlap with EMA.</w:t>
      </w:r>
    </w:p>
    <w:p>
      <w:pPr>
        <w:numPr>
          <w:ilvl w:val="0"/>
          <w:numId w:val="1003"/>
        </w:numPr>
      </w:pPr>
      <w:r>
        <w:t xml:space="preserve">Daily surveys remain to be a feasible and predictive signal even when measured over a year.</w:t>
      </w:r>
    </w:p>
    <w:p>
      <w:pPr>
        <w:numPr>
          <w:ilvl w:val="0"/>
          <w:numId w:val="1003"/>
        </w:numPr>
      </w:pPr>
      <w:r>
        <w:t xml:space="preserve">Participants provided data for up to 12 months. This extended window of recovery (12 months vs. 3 months) is critical for evaluating the value of an algorithm intended for ongoing continuing care support and understanding how lapse risk evolves as people progress in their recovery (i.e., past 3 months).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are better suited for understanding the temporal dynamics of lapse risk over long periods of recovery.</w:t>
      </w:r>
    </w:p>
    <w:p>
      <w:pPr>
        <w:numPr>
          <w:ilvl w:val="0"/>
          <w:numId w:val="1003"/>
        </w:numPr>
      </w:pPr>
      <w:r>
        <w:t xml:space="preserve">The longer duration of participation also provides the opportunity to experiment with lagged prediction windows further than two weeks into the future (i.e., 1 month). However, in a machine learning framework, different models must be built to predict lapses at varying times in the future. For example, a recovery monitoring support system that detects both immediate lapse risk (i.e., in the next 24 hours) and future lapse risk (i.e, in the next 2 weeks and in the next month) would need three models. This approach is time consuming, cumbersome, and still only provides coarse understanding of time-course. Therefore, this study will only predict immediate lapse risk.</w:t>
      </w:r>
    </w:p>
    <w:bookmarkEnd w:id="77"/>
    <w:bookmarkStart w:id="125" w:name="references"/>
    <w:p>
      <w:pPr>
        <w:pStyle w:val="Heading1"/>
      </w:pPr>
      <w:r>
        <w:t xml:space="preserve">References</w:t>
      </w:r>
    </w:p>
    <w:bookmarkStart w:id="124" w:name="refs"/>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0"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0"/>
    <w:bookmarkStart w:id="82"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1">
        <w:r>
          <w:rPr>
            <w:rStyle w:val="Hyperlink"/>
          </w:rPr>
          <w:t xml:space="preserve">https://doi.org/10/ghqvcw</w:t>
        </w:r>
      </w:hyperlink>
    </w:p>
    <w:bookmarkEnd w:id="82"/>
    <w:bookmarkStart w:id="8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3">
        <w:r>
          <w:rPr>
            <w:rStyle w:val="Hyperlink"/>
          </w:rPr>
          <w:t xml:space="preserve">https://doi.org/10.1016/j.drugalcdep.2020.108350</w:t>
        </w:r>
      </w:hyperlink>
    </w:p>
    <w:bookmarkEnd w:id="84"/>
    <w:bookmarkStart w:id="85"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5"/>
    <w:bookmarkStart w:id="87"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6">
        <w:r>
          <w:rPr>
            <w:rStyle w:val="Hyperlink"/>
          </w:rPr>
          <w:t xml:space="preserve">https://doi.org/10.1016/j.drugalcdep.2006.05.012</w:t>
        </w:r>
      </w:hyperlink>
    </w:p>
    <w:bookmarkEnd w:id="87"/>
    <w:bookmarkStart w:id="8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88">
        <w:r>
          <w:rPr>
            <w:rStyle w:val="Hyperlink"/>
          </w:rPr>
          <w:t xml:space="preserve">https://doi.org/10.1001/jamapsychiatry.2013.4642</w:t>
        </w:r>
      </w:hyperlink>
    </w:p>
    <w:bookmarkEnd w:id="89"/>
    <w:bookmarkStart w:id="9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0"/>
    <w:bookmarkStart w:id="9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1">
        <w:r>
          <w:rPr>
            <w:rStyle w:val="Hyperlink"/>
          </w:rPr>
          <w:t xml:space="preserve">https://doi.org/10.1016/j.josat.2025.209685</w:t>
        </w:r>
      </w:hyperlink>
    </w:p>
    <w:bookmarkEnd w:id="92"/>
    <w:bookmarkStart w:id="9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3">
        <w:r>
          <w:rPr>
            <w:rStyle w:val="Hyperlink"/>
          </w:rPr>
          <w:t xml:space="preserve">https://doi.org/10.1097/ADM.0000000000000312</w:t>
        </w:r>
      </w:hyperlink>
    </w:p>
    <w:bookmarkEnd w:id="94"/>
    <w:bookmarkStart w:id="9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5">
        <w:r>
          <w:rPr>
            <w:rStyle w:val="Hyperlink"/>
          </w:rPr>
          <w:t xml:space="preserve">https://doi.org/10/gfsjzg</w:t>
        </w:r>
      </w:hyperlink>
    </w:p>
    <w:bookmarkEnd w:id="96"/>
    <w:bookmarkStart w:id="9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97">
        <w:r>
          <w:rPr>
            <w:rStyle w:val="Hyperlink"/>
          </w:rPr>
          <w:t xml:space="preserve">https://doi.org/10.1001/jamanetworkopen.2020.5852</w:t>
        </w:r>
      </w:hyperlink>
    </w:p>
    <w:bookmarkEnd w:id="98"/>
    <w:bookmarkStart w:id="9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99"/>
    <w:bookmarkStart w:id="10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0"/>
    <w:bookmarkStart w:id="102"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1">
        <w:r>
          <w:rPr>
            <w:rStyle w:val="Hyperlink"/>
          </w:rPr>
          <w:t xml:space="preserve">https://doi.org/10.1111/jrh.70076</w:t>
        </w:r>
      </w:hyperlink>
    </w:p>
    <w:bookmarkEnd w:id="102"/>
    <w:bookmarkStart w:id="103"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3"/>
    <w:bookmarkStart w:id="105"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4">
        <w:r>
          <w:rPr>
            <w:rStyle w:val="Hyperlink"/>
          </w:rPr>
          <w:t xml:space="preserve">https://doi.org/10.1038/s41380-018-0094-5</w:t>
        </w:r>
      </w:hyperlink>
    </w:p>
    <w:bookmarkEnd w:id="105"/>
    <w:bookmarkStart w:id="107"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06">
        <w:r>
          <w:rPr>
            <w:rStyle w:val="Hyperlink"/>
          </w:rPr>
          <w:t xml:space="preserve">https://doi.org/10.1146/annurev-clinpsy-032816-044949</w:t>
        </w:r>
      </w:hyperlink>
    </w:p>
    <w:bookmarkEnd w:id="107"/>
    <w:bookmarkStart w:id="108"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08"/>
    <w:bookmarkStart w:id="11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09">
        <w:r>
          <w:rPr>
            <w:rStyle w:val="Hyperlink"/>
          </w:rPr>
          <w:t xml:space="preserve">https://doi.org/10.2196/29563</w:t>
        </w:r>
      </w:hyperlink>
    </w:p>
    <w:bookmarkEnd w:id="110"/>
    <w:bookmarkStart w:id="11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1">
        <w:r>
          <w:rPr>
            <w:rStyle w:val="Hyperlink"/>
          </w:rPr>
          <w:t xml:space="preserve">https://doi.org/10.1016/j.jsat.2021.108710</w:t>
        </w:r>
      </w:hyperlink>
    </w:p>
    <w:bookmarkEnd w:id="112"/>
    <w:bookmarkStart w:id="114"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3">
        <w:r>
          <w:rPr>
            <w:rStyle w:val="Hyperlink"/>
          </w:rPr>
          <w:t xml:space="preserve">https://doi.org/10.1016/j.drugalcdep.2019.05.017</w:t>
        </w:r>
      </w:hyperlink>
    </w:p>
    <w:bookmarkEnd w:id="114"/>
    <w:bookmarkStart w:id="115"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15"/>
    <w:bookmarkStart w:id="117"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16">
        <w:r>
          <w:rPr>
            <w:rStyle w:val="Hyperlink"/>
          </w:rPr>
          <w:t xml:space="preserve">https://doi.org/10.1016/j.landig.2025.100916</w:t>
        </w:r>
      </w:hyperlink>
    </w:p>
    <w:bookmarkEnd w:id="117"/>
    <w:bookmarkStart w:id="119"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18">
        <w:r>
          <w:rPr>
            <w:rStyle w:val="Hyperlink"/>
          </w:rPr>
          <w:t xml:space="preserve">https://doi.org/10.1016/j.jsat.2016.12.010</w:t>
        </w:r>
      </w:hyperlink>
    </w:p>
    <w:bookmarkEnd w:id="119"/>
    <w:bookmarkStart w:id="12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0">
        <w:r>
          <w:rPr>
            <w:rStyle w:val="Hyperlink"/>
          </w:rPr>
          <w:t xml:space="preserve">https://doi.org/10.2196/41833</w:t>
        </w:r>
      </w:hyperlink>
    </w:p>
    <w:bookmarkEnd w:id="121"/>
    <w:bookmarkStart w:id="12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2">
        <w:r>
          <w:rPr>
            <w:rStyle w:val="Hyperlink"/>
          </w:rPr>
          <w:t xml:space="preserve">https://doi.org/10.31234/osf.io/cgsf7</w:t>
        </w:r>
      </w:hyperlink>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1/jamanetworkopen.2020.5852" TargetMode="External" /><Relationship Type="http://schemas.openxmlformats.org/officeDocument/2006/relationships/hyperlink" Id="rId88" Target="https://doi.org/10.1001/jamapsychiatry.2013.4642" TargetMode="External" /><Relationship Type="http://schemas.openxmlformats.org/officeDocument/2006/relationships/hyperlink" Id="rId86" Target="https://doi.org/10.1016/j.drugalcdep.2006.05.012" TargetMode="External" /><Relationship Type="http://schemas.openxmlformats.org/officeDocument/2006/relationships/hyperlink" Id="rId113" Target="https://doi.org/10.1016/j.drugalcdep.2019.05.017" TargetMode="External" /><Relationship Type="http://schemas.openxmlformats.org/officeDocument/2006/relationships/hyperlink" Id="rId83" Target="https://doi.org/10.1016/j.drugalcdep.2020.108350" TargetMode="External" /><Relationship Type="http://schemas.openxmlformats.org/officeDocument/2006/relationships/hyperlink" Id="rId91" Target="https://doi.org/10.1016/j.josat.2025.209685" TargetMode="External" /><Relationship Type="http://schemas.openxmlformats.org/officeDocument/2006/relationships/hyperlink" Id="rId118" Target="https://doi.org/10.1016/j.jsat.2016.12.010" TargetMode="External" /><Relationship Type="http://schemas.openxmlformats.org/officeDocument/2006/relationships/hyperlink" Id="rId111" Target="https://doi.org/10.1016/j.jsat.2021.108710" TargetMode="External" /><Relationship Type="http://schemas.openxmlformats.org/officeDocument/2006/relationships/hyperlink" Id="rId116" Target="https://doi.org/10.1016/j.landig.2025.100916" TargetMode="External" /><Relationship Type="http://schemas.openxmlformats.org/officeDocument/2006/relationships/hyperlink" Id="rId104" Target="https://doi.org/10.1038/s41380-018-0094-5" TargetMode="External" /><Relationship Type="http://schemas.openxmlformats.org/officeDocument/2006/relationships/hyperlink" Id="rId93" Target="https://doi.org/10.1097/ADM.0000000000000312" TargetMode="External" /><Relationship Type="http://schemas.openxmlformats.org/officeDocument/2006/relationships/hyperlink" Id="rId101" Target="https://doi.org/10.1111/jrh.70076" TargetMode="External" /><Relationship Type="http://schemas.openxmlformats.org/officeDocument/2006/relationships/hyperlink" Id="rId106" Target="https://doi.org/10.1146/annurev-clinpsy-032816-044949" TargetMode="External" /><Relationship Type="http://schemas.openxmlformats.org/officeDocument/2006/relationships/hyperlink" Id="rId78" Target="https://doi.org/10.21231/GNT1-HW21" TargetMode="External" /><Relationship Type="http://schemas.openxmlformats.org/officeDocument/2006/relationships/hyperlink" Id="rId109" Target="https://doi.org/10.2196/29563" TargetMode="External" /><Relationship Type="http://schemas.openxmlformats.org/officeDocument/2006/relationships/hyperlink" Id="rId120" Target="https://doi.org/10.2196/41833" TargetMode="External" /><Relationship Type="http://schemas.openxmlformats.org/officeDocument/2006/relationships/hyperlink" Id="rId122" Target="https://doi.org/10.31234/osf.io/cgsf7" TargetMode="External" /><Relationship Type="http://schemas.openxmlformats.org/officeDocument/2006/relationships/hyperlink" Id="rId95" Target="https://doi.org/10/gfsjzg" TargetMode="External" /><Relationship Type="http://schemas.openxmlformats.org/officeDocument/2006/relationships/hyperlink" Id="rId81"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qmd.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2026-03-17T12:11:02Z</dcterms:created>
  <dcterms:modified xsi:type="dcterms:W3CDTF">2026-03-17T12:11:02Z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2026-03-17</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