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Claire E. Punturieri</w:t>
      </w:r>
    </w:p>
    <w:p>
      <w:pPr>
        <w:pStyle w:val="Author"/>
      </w:pPr>
      <w:r>
        <w:t xml:space="preserve">John J. Curtin</w:t>
      </w:r>
    </w:p>
    <w:p>
      <w:pPr>
        <w:pStyle w:val="Date"/>
      </w:pPr>
      <w:r>
        <w:t xml:space="preserve">2026-09-18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a">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and differences in time spent in pleasant, unpleasant, helpful, and harmful locations.</w:t>
      </w:r>
    </w:p>
    <w:tbl>
      <w:tblPr>
        <w:tblStyle w:val="Table"/>
        <w:tblW w:type="pct" w:w="5000"/>
        <w:tblLayout w:type="fixed"/>
        <w:tblLook w:firstRow="0" w:lastRow="0" w:firstColumn="0" w:lastColumn="0" w:noHBand="0" w:noVBand="0" w:val="0000"/>
      </w:tblPr>
      <w:tblGrid>
        <w:gridCol w:w="7920"/>
      </w:tblGrid>
      <w:tr>
        <w:tc>
          <w:tcPr/>
          <w:bookmarkStart w:id="60" w:name="fig-3a"/>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a-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a">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pleasant, unpleasant, or helpful locations), while higher values represent higher levels (e.g., higher urge intensity, higher abstinence confidence, lower abstinent motivation, and greater time spent in pleasant, unpleasant, or helpful locations). For difference features, values are interpreted relative to the individual’s baseline. Negative values indicate that the score is below the individual’s typical level (e.g., less substance use, less time in pleasant, unpleasant, or helpful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pleasant, unpleasant, or helpful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a"/>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a-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time spent in pleasant, unpleasant, helpful, or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a" TargetMode="External" /><Relationship Type="http://schemas.openxmlformats.org/officeDocument/2006/relationships/hyperlink" Id="rId66" Target="https://jjcurtin.github.io/study_risk2/notebooks\mak_figures-preview.html#cell-fig-4a"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a" TargetMode="External" /><Relationship Type="http://schemas.openxmlformats.org/officeDocument/2006/relationships/hyperlink" Id="rId66" Target="https://jjcurtin.github.io/study_risk2/notebooks\mak_figures-preview.html#cell-fig-4a"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Claire E. Punturieri; John J. Curtin</dc:creator>
  <cp:keywords>Substance use disorders, Precision mental health</cp:keywords>
  <dcterms:created xsi:type="dcterms:W3CDTF">2026-09-18T18:42:25Z</dcterms:created>
  <dcterms:modified xsi:type="dcterms:W3CDTF">2026-09-18T18:42:25Z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