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2026-03-05</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289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0.91, with narrow 95% CI ([0.90, 0.92]). To evaluate the incremental predictive value of our dynamic sensing features, we compared the performance of our full model to the performance of three ablated models: 0.62 (ablated daily survey features), 0.92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0.35).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0.294</w:t>
                  </w:r>
                </w:p>
              </w:tc>
              <w:tc>
                <w:tcPr/>
                <w:p>
                  <w:pPr>
                    <w:pStyle w:val="Compact"/>
                    <w:jc w:val="left"/>
                    <w:jc w:val="center"/>
                  </w:pPr>
                  <w:r>
                    <w:t xml:space="preserve">[0.271, 0.317]</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[-0.012, 0.007]</w:t>
                  </w:r>
                </w:p>
              </w:tc>
              <w:tc>
                <w:tcPr/>
                <w:p>
                  <w:pPr>
                    <w:pStyle w:val="Compact"/>
                    <w:jc w:val="left"/>
                    <w:jc w:val="center"/>
                  </w:pPr>
                  <w:r>
                    <w:t xml:space="preserve">0.349</w:t>
                  </w:r>
                </w:p>
              </w:tc>
            </w:tr>
            <w:tr>
              <w:tc>
                <w:tcPr/>
                <w:p>
                  <w:pPr>
                    <w:pStyle w:val="Compact"/>
                    <w:jc w:val="left"/>
                    <w:jc w:val="center"/>
                  </w:pPr>
                  <w:r>
                    <w:t xml:space="preserve">full vs. ablated daily survey and geolocation</w:t>
                  </w:r>
                </w:p>
              </w:tc>
              <w:tc>
                <w:tcPr/>
                <w:p>
                  <w:pPr>
                    <w:pStyle w:val="Compact"/>
                    <w:jc w:val="left"/>
                    <w:jc w:val="center"/>
                  </w:pPr>
                  <w:r>
                    <w:t xml:space="preserve">0.363</w:t>
                  </w:r>
                </w:p>
              </w:tc>
              <w:tc>
                <w:tcPr/>
                <w:p>
                  <w:pPr>
                    <w:pStyle w:val="Compact"/>
                    <w:jc w:val="left"/>
                    <w:jc w:val="center"/>
                  </w:pPr>
                  <w:r>
                    <w:t xml:space="preserve">[0.339, 0.388]</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moderate evidence that performance differed by geographic location (probability = 0.85) and strong evidence that performance differed by gender, income, race and ethnicity, and sexual orientation (probabilities &gt; 0.94).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0.88 - 0.92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down-sampled the majority class.</w:t>
      </w:r>
      <w:r>
        <w:rPr>
          <w:rStyle w:val="FootnoteReference"/>
        </w:rPr>
        <w:footnoteReference w:id="57"/>
      </w:r>
      <w:r>
        <w:t xml:space="preserve"> </w:t>
      </w:r>
      <w:r>
        <w:t xml:space="preserve">This model produced generally well-calibrated raw probabilities (brier score = 0.016). We attempted to improve calibration with Platt scaling and results were comparable (brier score = 0.016). A Calibration plot revealed that our raw model predictions were better aligned with observed lapse frequencies than the Platt-scaled scores across most of the probability range. At higher predicted probabilities, the model exhibited high-variance estimates and therefore poor calibration, driven by very few observations in those bins (only one prediction exceeded 0.6;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Feature importance values can also be aggregated across all participants and all observations to provide a relative rank ordering of the most important features. A traditional mean absolute Shapley value approach revealed the most important features (i.e., largest magnitude of contribution to the prediction) to be differences in past opioid use.</w:t>
      </w:r>
    </w:p>
    <w:p>
      <w:pPr>
        <w:pStyle w:val="BodyText"/>
      </w:pPr>
      <w:r>
        <w:t xml:space="preserve">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p>
      <w:pPr>
        <w:pStyle w:val="BodyText"/>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5:1 downsampling of the majority class and the following hyperparameter values: learning rate = .1, tree depth = 5, mtry = 40.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2026-03-06T00:58:53Z</dcterms:created>
  <dcterms:modified xsi:type="dcterms:W3CDTF">2026-03-06T00:58:53Z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2026-03-05</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