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8.png" ContentType="image/png"/>
  <Override PartName="/word/media/rId64.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2026-03-23</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21"/>
    <w:bookmarkStart w:id="42" w:name="methods"/>
    <w:p>
      <w:pPr>
        <w:pStyle w:val="Heading1"/>
      </w:pPr>
      <w:r>
        <w:t xml:space="preserve">Methods</w:t>
      </w:r>
    </w:p>
    <w:bookmarkStart w:id="24"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22">
        <w:r>
          <w:rPr>
            <w:rStyle w:val="Hyperlink"/>
          </w:rPr>
          <w:t xml:space="preserve">https://osf.io/zvm7s/overview</w:t>
        </w:r>
      </w:hyperlink>
      <w:r>
        <w:t xml:space="preserve">) and our annotated analysis scripts and results are publicly available on our study website (</w:t>
      </w:r>
      <w:hyperlink r:id="rId23">
        <w:r>
          <w:rPr>
            <w:rStyle w:val="Hyperlink"/>
          </w:rPr>
          <w:t xml:space="preserve">https://jjcurtin.github.io/study_risk2/</w:t>
        </w:r>
      </w:hyperlink>
      <w:r>
        <w:t xml:space="preserve">).</w:t>
      </w:r>
      <w:r>
        <w:t xml:space="preserve"> </w:t>
      </w:r>
    </w:p>
    <w:bookmarkEnd w:id="24"/>
    <w:bookmarkStart w:id="25" w:name="participants"/>
    <w:p>
      <w:pPr>
        <w:pStyle w:val="Heading2"/>
      </w:pPr>
      <w:r>
        <w:t xml:space="preserve">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25"/>
    <w:bookmarkStart w:id="28"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26"/>
      </w:r>
      <w:r>
        <w:t xml:space="preserve">, and $5 per month for sharing geolocation data.</w:t>
      </w:r>
      <w:r>
        <w:rPr>
          <w:rStyle w:val="FootnoteReference"/>
        </w:rPr>
        <w:footnoteReference w:id="27"/>
      </w:r>
      <w:r>
        <w:t xml:space="preserve"> </w:t>
      </w:r>
      <w:r>
        <w:t xml:space="preserve">Participants were also paid $50 per month to offset the cost of maintaining a cellphone data plan.</w:t>
      </w:r>
    </w:p>
    <w:bookmarkEnd w:id="28"/>
    <w:bookmarkStart w:id="32" w:name="measures"/>
    <w:p>
      <w:pPr>
        <w:pStyle w:val="Heading2"/>
      </w:pPr>
      <w:r>
        <w:t xml:space="preserve">Measures</w:t>
      </w:r>
    </w:p>
    <w:bookmarkStart w:id="29"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9"/>
    <w:bookmarkStart w:id="30"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30"/>
    <w:bookmarkStart w:id="31"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31"/>
    <w:bookmarkEnd w:id="32"/>
    <w:bookmarkStart w:id="41"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3"/>
    <w:bookmarkStart w:id="34"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34"/>
    <w:bookmarkStart w:id="35"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35"/>
    <w:bookmarkStart w:id="36"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36"/>
    <w:bookmarkStart w:id="39"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37" w:name="auroc-and-model-comparisons"/>
    <w:p>
      <w:pPr>
        <w:pStyle w:val="Heading4"/>
      </w:pPr>
      <w:r>
        <w:t xml:space="preserve">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37"/>
    <w:bookmarkStart w:id="38" w:name="calibration-and-overall-performance"/>
    <w:p>
      <w:pPr>
        <w:pStyle w:val="Heading4"/>
      </w:pPr>
      <w:r>
        <w:t xml:space="preserve">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38"/>
    <w:bookmarkEnd w:id="39"/>
    <w:bookmarkStart w:id="40"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40"/>
    <w:bookmarkEnd w:id="41"/>
    <w:bookmarkEnd w:id="42"/>
    <w:bookmarkStart w:id="76" w:name="results"/>
    <w:p>
      <w:pPr>
        <w:pStyle w:val="Heading1"/>
      </w:pPr>
      <w:r>
        <w:t xml:space="preserve">Results</w:t>
      </w:r>
    </w:p>
    <w:bookmarkStart w:id="47"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43"/>
      </w:r>
      <w:r>
        <w:t xml:space="preserve"> </w:t>
      </w:r>
      <w:r>
        <w:t xml:space="preserve">Of these 330, 14 were excluded for not providing at least 28 days of EMA data with acceptable adherence</w:t>
      </w:r>
      <w:r>
        <w:rPr>
          <w:rStyle w:val="FootnoteReference"/>
        </w:rPr>
        <w:footnoteReference w:id="44"/>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45"/>
          <w:p/>
        </w:tc>
      </w:tr>
    </w:tbl>
    <w:p>
      <w:pPr>
        <w:pStyle w:val="BodyText"/>
      </w:pPr>
      <w:r>
        <w:rPr>
          <w:vertAlign w:val="subscript"/>
        </w:rPr>
        <w:t xml:space="preserve">Source:</w:t>
      </w:r>
      <w:r>
        <w:rPr>
          <w:vertAlign w:val="subscript"/>
        </w:rPr>
        <w:t xml:space="preserve"> </w:t>
      </w:r>
      <w:hyperlink r:id="rId46">
        <w:r>
          <w:rPr>
            <w:rStyle w:val="Hyperlink"/>
            <w:vertAlign w:val="subscript"/>
          </w:rPr>
          <w:t xml:space="preserve">Make All Tables for Main Manuscript</w:t>
        </w:r>
      </w:hyperlink>
    </w:p>
    <w:bookmarkEnd w:id="47"/>
    <w:bookmarkStart w:id="48"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8"/>
    <w:bookmarkStart w:id="56"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2"/>
          <w:p>
            <w:pPr>
              <w:jc w:val="center"/>
            </w:pPr>
            <w:pPr>
              <w:jc w:val="star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2.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Figures</w:t>
        </w:r>
      </w:hyperlink>
    </w:p>
    <w:bookmarkEnd w:id="56"/>
    <w:bookmarkStart w:id="63"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7"/>
      </w:r>
      <w:r>
        <w:t xml:space="preserve"> </w:t>
      </w:r>
      <w:r>
        <w:t xml:space="preserve">This model produced generally well-calibrated raw probabilities (brier score = 0.014; left panel of</w:t>
      </w:r>
      <w:r>
        <w:t xml:space="preserve"> </w:t>
      </w:r>
      <w:hyperlink w:anchor="fig-2">
        <w:r>
          <w:rPr>
            <w:rStyle w:val="Hyperlink"/>
          </w:rPr>
          <w:t xml:space="preserve">Figure 2</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2"/>
          <w:p>
            <w:pPr>
              <w:pStyle w:val="Compact"/>
              <w:jc w:val="center"/>
            </w:pPr>
            <w:r>
              <w:drawing>
                <wp:inline>
                  <wp:extent cx="5334000" cy="3333749"/>
                  <wp:effectExtent b="0" l="0" r="0" t="0"/>
                  <wp:docPr descr="" title="" id="59" name="Picture"/>
                  <a:graphic>
                    <a:graphicData uri="http://schemas.openxmlformats.org/drawingml/2006/picture">
                      <pic:pic>
                        <pic:nvPicPr>
                          <pic:cNvPr descr="index_files/figure-docx/notebooks-mak_figures-fig-2-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Figures</w:t>
        </w:r>
      </w:hyperlink>
    </w:p>
    <w:bookmarkEnd w:id="63"/>
    <w:bookmarkStart w:id="75"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3</w:t>
        </w:r>
      </w:hyperlink>
      <w:r>
        <w:t xml:space="preserve"> </w:t>
      </w:r>
      <w:r>
        <w:t xml:space="preserve">displays the top 30 (out of 186) feature categories, as defined by the 30 largest absolute mean shapley values. In the supplement, we provide full figures of all possible feature categories.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8" w:name="fig-3"/>
          <w:p>
            <w:pPr>
              <w:pStyle w:val="Compact"/>
              <w:jc w:val="center"/>
            </w:pPr>
            <w:bookmarkStart w:id="67" w:name="fig-3"/>
            <w:r>
              <w:drawing>
                <wp:inline>
                  <wp:extent cx="5334000" cy="3333749"/>
                  <wp:effectExtent b="0" l="0" r="0" t="0"/>
                  <wp:docPr descr="" title="" id="65" name="Picture"/>
                  <a:graphic>
                    <a:graphicData uri="http://schemas.openxmlformats.org/drawingml/2006/picture">
                      <pic:pic>
                        <pic:nvPicPr>
                          <pic:cNvPr descr="index_files/figure-docx/notebooks-mak_figures-fig-3-output-1.png" id="66" name="Picture"/>
                          <pic:cNvPicPr>
                            <a:picLocks noChangeArrowheads="1" noChangeAspect="1"/>
                          </pic:cNvPicPr>
                        </pic:nvPicPr>
                        <pic:blipFill>
                          <a:blip r:embed="rId64"/>
                          <a:stretch>
                            <a:fillRect/>
                          </a:stretch>
                        </pic:blipFill>
                        <pic:spPr bwMode="auto">
                          <a:xfrm>
                            <a:off x="0" y="0"/>
                            <a:ext cx="5334000" cy="3333749"/>
                          </a:xfrm>
                          <a:prstGeom prst="rect">
                            <a:avLst/>
                          </a:prstGeom>
                          <a:noFill/>
                          <a:ln w="9525">
                            <a:noFill/>
                            <a:headEnd/>
                            <a:tailEnd/>
                          </a:ln>
                        </pic:spPr>
                      </pic:pic>
                    </a:graphicData>
                  </a:graphic>
                </wp:inline>
              </w:drawing>
            </w:r>
            <w:bookmarkEnd w:id="67"/>
          </w:p>
          <w:p>
            <w:pPr>
              <w:jc w:val="center"/>
            </w:pPr>
            <w:pPr>
              <w:jc w:val="start"/>
              <w:spacing w:before="200"/>
              <w:pStyle w:val="ImageCaption"/>
            </w:pPr>
            <w:r>
              <w:t xml:space="preserve">Figure 3</w:t>
            </w:r>
          </w:p>
          <w:bookmarkEnd w:id="68"/>
        </w:tc>
      </w:tr>
    </w:tbl>
    <w:p>
      <w:pPr>
        <w:pStyle w:val="BodyText"/>
      </w:pPr>
      <w:r>
        <w:rPr>
          <w:vertAlign w:val="subscript"/>
        </w:rPr>
        <w:t xml:space="preserve">Source:</w:t>
      </w:r>
      <w:r>
        <w:rPr>
          <w:vertAlign w:val="subscript"/>
        </w:rPr>
        <w:t xml:space="preserve"> </w:t>
      </w:r>
      <w:hyperlink r:id="rId69">
        <w:r>
          <w:rPr>
            <w:rStyle w:val="Hyperlink"/>
            <w:vertAlign w:val="subscript"/>
          </w:rPr>
          <w:t xml:space="preserve">Make Figures</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4</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73" w:name="fig-4"/>
          <w:p>
            <w:pPr>
              <w:pStyle w:val="Compact"/>
              <w:jc w:val="center"/>
            </w:pPr>
            <w:r>
              <w:drawing>
                <wp:inline>
                  <wp:extent cx="5334000" cy="7467600"/>
                  <wp:effectExtent b="0" l="0" r="0" t="0"/>
                  <wp:docPr descr="" title="" id="71" name="Picture"/>
                  <a:graphic>
                    <a:graphicData uri="http://schemas.openxmlformats.org/drawingml/2006/picture">
                      <pic:pic>
                        <pic:nvPicPr>
                          <pic:cNvPr descr="index_files/figure-docx/notebooks-mak_figures-fig-4-output-1.png" id="72" name="Picture"/>
                          <pic:cNvPicPr>
                            <a:picLocks noChangeArrowheads="1" noChangeAspect="1"/>
                          </pic:cNvPicPr>
                        </pic:nvPicPr>
                        <pic:blipFill>
                          <a:blip r:embed="rId70"/>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73"/>
        </w:tc>
      </w:tr>
    </w:tbl>
    <w:p>
      <w:pPr>
        <w:pStyle w:val="BodyText"/>
      </w:pPr>
      <w:r>
        <w:rPr>
          <w:vertAlign w:val="subscript"/>
        </w:rPr>
        <w:t xml:space="preserve">Source:</w:t>
      </w:r>
      <w:r>
        <w:rPr>
          <w:vertAlign w:val="subscript"/>
        </w:rPr>
        <w:t xml:space="preserve"> </w:t>
      </w:r>
      <w:hyperlink r:id="rId74">
        <w:r>
          <w:rPr>
            <w:rStyle w:val="Hyperlink"/>
            <w:vertAlign w:val="subscript"/>
          </w:rPr>
          <w:t xml:space="preserve">Make Figures</w:t>
        </w:r>
      </w:hyperlink>
    </w:p>
    <w:bookmarkEnd w:id="75"/>
    <w:bookmarkEnd w:id="76"/>
    <w:bookmarkStart w:id="77" w:name="discussion"/>
    <w:p>
      <w:pPr>
        <w:pStyle w:val="Heading1"/>
      </w:pPr>
      <w:r>
        <w:t xml:space="preserve">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A final limitation of our study is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77"/>
    <w:bookmarkStart w:id="135" w:name="references"/>
    <w:p>
      <w:pPr>
        <w:pStyle w:val="Heading1"/>
      </w:pPr>
      <w:r>
        <w:t xml:space="preserve">References</w:t>
      </w:r>
    </w:p>
    <w:bookmarkStart w:id="134" w:name="refs"/>
    <w:bookmarkStart w:id="7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8"/>
    <w:bookmarkStart w:id="8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9">
        <w:r>
          <w:rPr>
            <w:rStyle w:val="Hyperlink"/>
          </w:rPr>
          <w:t xml:space="preserve">https://doi.org/10.21231/GNT1-HW21</w:t>
        </w:r>
      </w:hyperlink>
    </w:p>
    <w:bookmarkEnd w:id="80"/>
    <w:bookmarkStart w:id="8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1">
        <w:r>
          <w:rPr>
            <w:rStyle w:val="Hyperlink"/>
          </w:rPr>
          <w:t xml:space="preserve">https://doi.org/10.1136/bmj-2023-078378</w:t>
        </w:r>
      </w:hyperlink>
    </w:p>
    <w:bookmarkEnd w:id="82"/>
    <w:bookmarkStart w:id="83"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3"/>
    <w:bookmarkStart w:id="85"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4">
        <w:r>
          <w:rPr>
            <w:rStyle w:val="Hyperlink"/>
          </w:rPr>
          <w:t xml:space="preserve">https://doi.org/10/ghqvcw</w:t>
        </w:r>
      </w:hyperlink>
    </w:p>
    <w:bookmarkEnd w:id="85"/>
    <w:bookmarkStart w:id="87"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6">
        <w:r>
          <w:rPr>
            <w:rStyle w:val="Hyperlink"/>
          </w:rPr>
          <w:t xml:space="preserve">https://doi.org/10.1016/j.drugalcdep.2020.108350</w:t>
        </w:r>
      </w:hyperlink>
    </w:p>
    <w:bookmarkEnd w:id="87"/>
    <w:bookmarkStart w:id="88"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88"/>
    <w:bookmarkStart w:id="90"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89">
        <w:r>
          <w:rPr>
            <w:rStyle w:val="Hyperlink"/>
          </w:rPr>
          <w:t xml:space="preserve">https://doi.org/10.1016/j.drugalcdep.2006.05.012</w:t>
        </w:r>
      </w:hyperlink>
    </w:p>
    <w:bookmarkEnd w:id="90"/>
    <w:bookmarkStart w:id="92"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1">
        <w:r>
          <w:rPr>
            <w:rStyle w:val="Hyperlink"/>
          </w:rPr>
          <w:t xml:space="preserve">https://doi.org/10.1001/jamapsychiatry.2013.4642</w:t>
        </w:r>
      </w:hyperlink>
    </w:p>
    <w:bookmarkEnd w:id="92"/>
    <w:bookmarkStart w:id="93"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93"/>
    <w:bookmarkStart w:id="95"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94">
        <w:r>
          <w:rPr>
            <w:rStyle w:val="Hyperlink"/>
          </w:rPr>
          <w:t xml:space="preserve">https://doi.org/10.1016/j.josat.2025.209685</w:t>
        </w:r>
      </w:hyperlink>
    </w:p>
    <w:bookmarkEnd w:id="95"/>
    <w:bookmarkStart w:id="97"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96">
        <w:r>
          <w:rPr>
            <w:rStyle w:val="Hyperlink"/>
          </w:rPr>
          <w:t xml:space="preserve">https://doi.org/10.1097/ADM.0000000000000312</w:t>
        </w:r>
      </w:hyperlink>
    </w:p>
    <w:bookmarkEnd w:id="97"/>
    <w:bookmarkStart w:id="99"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98">
        <w:r>
          <w:rPr>
            <w:rStyle w:val="Hyperlink"/>
          </w:rPr>
          <w:t xml:space="preserve">https://doi.org/10/gfsjzg</w:t>
        </w:r>
      </w:hyperlink>
    </w:p>
    <w:bookmarkEnd w:id="99"/>
    <w:bookmarkStart w:id="101"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0">
        <w:r>
          <w:rPr>
            <w:rStyle w:val="Hyperlink"/>
          </w:rPr>
          <w:t xml:space="preserve">https://doi.org/10.1001/jamanetworkopen.2020.5852</w:t>
        </w:r>
      </w:hyperlink>
    </w:p>
    <w:bookmarkEnd w:id="101"/>
    <w:bookmarkStart w:id="102"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02"/>
    <w:bookmarkStart w:id="103"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03"/>
    <w:bookmarkStart w:id="10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04">
        <w:r>
          <w:rPr>
            <w:rStyle w:val="Hyperlink"/>
          </w:rPr>
          <w:t xml:space="preserve">https://doi.org/10.1111/jrh.70076</w:t>
        </w:r>
      </w:hyperlink>
    </w:p>
    <w:bookmarkEnd w:id="105"/>
    <w:bookmarkStart w:id="10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06"/>
    <w:bookmarkStart w:id="10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07">
        <w:r>
          <w:rPr>
            <w:rStyle w:val="Hyperlink"/>
          </w:rPr>
          <w:t xml:space="preserve">https://doi.org/10.1038/s41380-018-0094-5</w:t>
        </w:r>
      </w:hyperlink>
    </w:p>
    <w:bookmarkEnd w:id="108"/>
    <w:bookmarkStart w:id="110"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t xml:space="preserve">,</w:t>
      </w:r>
      <w:r>
        <w:t xml:space="preserve"> </w:t>
      </w:r>
      <w:r>
        <w:rPr>
          <w:i/>
          <w:iCs/>
        </w:rPr>
        <w:t xml:space="preserve">137</w:t>
      </w:r>
      <w:r>
        <w:t xml:space="preserve">(5), 955–963.</w:t>
      </w:r>
      <w:r>
        <w:t xml:space="preserve"> </w:t>
      </w:r>
      <w:hyperlink r:id="rId109">
        <w:r>
          <w:rPr>
            <w:rStyle w:val="Hyperlink"/>
          </w:rPr>
          <w:t xml:space="preserve">https://doi.org/10.1177/00333549211041554</w:t>
        </w:r>
      </w:hyperlink>
    </w:p>
    <w:bookmarkEnd w:id="110"/>
    <w:bookmarkStart w:id="112"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11">
        <w:r>
          <w:rPr>
            <w:rStyle w:val="Hyperlink"/>
          </w:rPr>
          <w:t xml:space="preserve">https://doi.org/10.1146/annurev-clinpsy-032816-044949</w:t>
        </w:r>
      </w:hyperlink>
    </w:p>
    <w:bookmarkEnd w:id="112"/>
    <w:bookmarkStart w:id="113"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113"/>
    <w:bookmarkStart w:id="115"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14">
        <w:r>
          <w:rPr>
            <w:rStyle w:val="Hyperlink"/>
          </w:rPr>
          <w:t xml:space="preserve">https://doi.org/10.2196/29563</w:t>
        </w:r>
      </w:hyperlink>
    </w:p>
    <w:bookmarkEnd w:id="115"/>
    <w:bookmarkStart w:id="117"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16">
        <w:r>
          <w:rPr>
            <w:rStyle w:val="Hyperlink"/>
          </w:rPr>
          <w:t xml:space="preserve">https://doi.org/10.1016/j.jsat.2021.108710</w:t>
        </w:r>
      </w:hyperlink>
    </w:p>
    <w:bookmarkEnd w:id="117"/>
    <w:bookmarkStart w:id="119"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18">
        <w:r>
          <w:rPr>
            <w:rStyle w:val="Hyperlink"/>
          </w:rPr>
          <w:t xml:space="preserve">https://doi.org/10.1016/j.drugalcdep.2019.05.017</w:t>
        </w:r>
      </w:hyperlink>
    </w:p>
    <w:bookmarkEnd w:id="119"/>
    <w:bookmarkStart w:id="120"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20"/>
    <w:bookmarkStart w:id="121"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21"/>
    <w:bookmarkStart w:id="123"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22">
        <w:r>
          <w:rPr>
            <w:rStyle w:val="Hyperlink"/>
          </w:rPr>
          <w:t xml:space="preserve">https://doi.org/10.1016/j.landig.2025.100916</w:t>
        </w:r>
      </w:hyperlink>
    </w:p>
    <w:bookmarkEnd w:id="123"/>
    <w:bookmarkStart w:id="125"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24">
        <w:r>
          <w:rPr>
            <w:rStyle w:val="Hyperlink"/>
          </w:rPr>
          <w:t xml:space="preserve">https://doi.org/10.1016/j.artmed.2020.101987</w:t>
        </w:r>
      </w:hyperlink>
    </w:p>
    <w:bookmarkEnd w:id="125"/>
    <w:bookmarkStart w:id="127"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126">
        <w:r>
          <w:rPr>
            <w:rStyle w:val="Hyperlink"/>
          </w:rPr>
          <w:t xml:space="preserve">https://doi.org/10.1016/j.jsat.2016.12.010</w:t>
        </w:r>
      </w:hyperlink>
    </w:p>
    <w:bookmarkEnd w:id="127"/>
    <w:bookmarkStart w:id="129"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28">
        <w:r>
          <w:rPr>
            <w:rStyle w:val="Hyperlink"/>
          </w:rPr>
          <w:t xml:space="preserve">https://doi.org/10.2196/41833</w:t>
        </w:r>
      </w:hyperlink>
    </w:p>
    <w:bookmarkEnd w:id="129"/>
    <w:bookmarkStart w:id="13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30">
        <w:r>
          <w:rPr>
            <w:rStyle w:val="Hyperlink"/>
          </w:rPr>
          <w:t xml:space="preserve">https://doi.org/10.31234/osf.io/cgsf7</w:t>
        </w:r>
      </w:hyperlink>
    </w:p>
    <w:bookmarkEnd w:id="131"/>
    <w:bookmarkStart w:id="133"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32">
        <w:r>
          <w:rPr>
            <w:rStyle w:val="Hyperlink"/>
          </w:rPr>
          <w:t xml:space="preserve">https://doi.org/10.1080/17441692.2023.2277854</w:t>
        </w:r>
      </w:hyperlink>
    </w:p>
    <w:bookmarkEnd w:id="133"/>
    <w:bookmarkEnd w:id="134"/>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7">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43">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44">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7">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hyperlink" Id="rId100" Target="https://doi.org/10.1001/jamanetworkopen.2020.5852" TargetMode="External" /><Relationship Type="http://schemas.openxmlformats.org/officeDocument/2006/relationships/hyperlink" Id="rId91" Target="https://doi.org/10.1001/jamapsychiatry.2013.4642" TargetMode="External" /><Relationship Type="http://schemas.openxmlformats.org/officeDocument/2006/relationships/hyperlink" Id="rId124" Target="https://doi.org/10.1016/j.artmed.2020.101987" TargetMode="External" /><Relationship Type="http://schemas.openxmlformats.org/officeDocument/2006/relationships/hyperlink" Id="rId89" Target="https://doi.org/10.1016/j.drugalcdep.2006.05.012" TargetMode="External" /><Relationship Type="http://schemas.openxmlformats.org/officeDocument/2006/relationships/hyperlink" Id="rId118" Target="https://doi.org/10.1016/j.drugalcdep.2019.05.017" TargetMode="External" /><Relationship Type="http://schemas.openxmlformats.org/officeDocument/2006/relationships/hyperlink" Id="rId86" Target="https://doi.org/10.1016/j.drugalcdep.2020.108350" TargetMode="External" /><Relationship Type="http://schemas.openxmlformats.org/officeDocument/2006/relationships/hyperlink" Id="rId94" Target="https://doi.org/10.1016/j.josat.2025.209685" TargetMode="External" /><Relationship Type="http://schemas.openxmlformats.org/officeDocument/2006/relationships/hyperlink" Id="rId126" Target="https://doi.org/10.1016/j.jsat.2016.12.010" TargetMode="External" /><Relationship Type="http://schemas.openxmlformats.org/officeDocument/2006/relationships/hyperlink" Id="rId116" Target="https://doi.org/10.1016/j.jsat.2021.108710" TargetMode="External" /><Relationship Type="http://schemas.openxmlformats.org/officeDocument/2006/relationships/hyperlink" Id="rId122" Target="https://doi.org/10.1016/j.landig.2025.100916" TargetMode="External" /><Relationship Type="http://schemas.openxmlformats.org/officeDocument/2006/relationships/hyperlink" Id="rId107" Target="https://doi.org/10.1038/s41380-018-0094-5" TargetMode="External" /><Relationship Type="http://schemas.openxmlformats.org/officeDocument/2006/relationships/hyperlink" Id="rId132" Target="https://doi.org/10.1080/17441692.2023.2277854" TargetMode="External" /><Relationship Type="http://schemas.openxmlformats.org/officeDocument/2006/relationships/hyperlink" Id="rId96" Target="https://doi.org/10.1097/ADM.0000000000000312" TargetMode="External" /><Relationship Type="http://schemas.openxmlformats.org/officeDocument/2006/relationships/hyperlink" Id="rId10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11" Target="https://doi.org/10.1146/annurev-clinpsy-032816-044949" TargetMode="External" /><Relationship Type="http://schemas.openxmlformats.org/officeDocument/2006/relationships/hyperlink" Id="rId109"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114" Target="https://doi.org/10.2196/29563" TargetMode="External" /><Relationship Type="http://schemas.openxmlformats.org/officeDocument/2006/relationships/hyperlink" Id="rId128" Target="https://doi.org/10.2196/41833" TargetMode="External" /><Relationship Type="http://schemas.openxmlformats.org/officeDocument/2006/relationships/hyperlink" Id="rId130" Target="https://doi.org/10.31234/osf.io/cgsf7" TargetMode="External" /><Relationship Type="http://schemas.openxmlformats.org/officeDocument/2006/relationships/hyperlink" Id="rId98" Target="https://doi.org/10/gfsjzg" TargetMode="External" /><Relationship Type="http://schemas.openxmlformats.org/officeDocument/2006/relationships/hyperlink" Id="rId84"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100" Target="https://doi.org/10.1001/jamanetworkopen.2020.5852" TargetMode="External" /><Relationship Type="http://schemas.openxmlformats.org/officeDocument/2006/relationships/hyperlink" Id="rId91" Target="https://doi.org/10.1001/jamapsychiatry.2013.4642" TargetMode="External" /><Relationship Type="http://schemas.openxmlformats.org/officeDocument/2006/relationships/hyperlink" Id="rId124" Target="https://doi.org/10.1016/j.artmed.2020.101987" TargetMode="External" /><Relationship Type="http://schemas.openxmlformats.org/officeDocument/2006/relationships/hyperlink" Id="rId89" Target="https://doi.org/10.1016/j.drugalcdep.2006.05.012" TargetMode="External" /><Relationship Type="http://schemas.openxmlformats.org/officeDocument/2006/relationships/hyperlink" Id="rId118" Target="https://doi.org/10.1016/j.drugalcdep.2019.05.017" TargetMode="External" /><Relationship Type="http://schemas.openxmlformats.org/officeDocument/2006/relationships/hyperlink" Id="rId86" Target="https://doi.org/10.1016/j.drugalcdep.2020.108350" TargetMode="External" /><Relationship Type="http://schemas.openxmlformats.org/officeDocument/2006/relationships/hyperlink" Id="rId94" Target="https://doi.org/10.1016/j.josat.2025.209685" TargetMode="External" /><Relationship Type="http://schemas.openxmlformats.org/officeDocument/2006/relationships/hyperlink" Id="rId126" Target="https://doi.org/10.1016/j.jsat.2016.12.010" TargetMode="External" /><Relationship Type="http://schemas.openxmlformats.org/officeDocument/2006/relationships/hyperlink" Id="rId116" Target="https://doi.org/10.1016/j.jsat.2021.108710" TargetMode="External" /><Relationship Type="http://schemas.openxmlformats.org/officeDocument/2006/relationships/hyperlink" Id="rId122" Target="https://doi.org/10.1016/j.landig.2025.100916" TargetMode="External" /><Relationship Type="http://schemas.openxmlformats.org/officeDocument/2006/relationships/hyperlink" Id="rId107" Target="https://doi.org/10.1038/s41380-018-0094-5" TargetMode="External" /><Relationship Type="http://schemas.openxmlformats.org/officeDocument/2006/relationships/hyperlink" Id="rId132" Target="https://doi.org/10.1080/17441692.2023.2277854" TargetMode="External" /><Relationship Type="http://schemas.openxmlformats.org/officeDocument/2006/relationships/hyperlink" Id="rId96" Target="https://doi.org/10.1097/ADM.0000000000000312" TargetMode="External" /><Relationship Type="http://schemas.openxmlformats.org/officeDocument/2006/relationships/hyperlink" Id="rId104" Target="https://doi.org/10.1111/jrh.70076" TargetMode="External" /><Relationship Type="http://schemas.openxmlformats.org/officeDocument/2006/relationships/hyperlink" Id="rId81" Target="https://doi.org/10.1136/bmj-2023-078378" TargetMode="External" /><Relationship Type="http://schemas.openxmlformats.org/officeDocument/2006/relationships/hyperlink" Id="rId111" Target="https://doi.org/10.1146/annurev-clinpsy-032816-044949" TargetMode="External" /><Relationship Type="http://schemas.openxmlformats.org/officeDocument/2006/relationships/hyperlink" Id="rId109" Target="https://doi.org/10.1177/00333549211041554" TargetMode="External" /><Relationship Type="http://schemas.openxmlformats.org/officeDocument/2006/relationships/hyperlink" Id="rId79" Target="https://doi.org/10.21231/GNT1-HW21" TargetMode="External" /><Relationship Type="http://schemas.openxmlformats.org/officeDocument/2006/relationships/hyperlink" Id="rId114" Target="https://doi.org/10.2196/29563" TargetMode="External" /><Relationship Type="http://schemas.openxmlformats.org/officeDocument/2006/relationships/hyperlink" Id="rId128" Target="https://doi.org/10.2196/41833" TargetMode="External" /><Relationship Type="http://schemas.openxmlformats.org/officeDocument/2006/relationships/hyperlink" Id="rId130" Target="https://doi.org/10.31234/osf.io/cgsf7" TargetMode="External" /><Relationship Type="http://schemas.openxmlformats.org/officeDocument/2006/relationships/hyperlink" Id="rId98" Target="https://doi.org/10/gfsjzg" TargetMode="External" /><Relationship Type="http://schemas.openxmlformats.org/officeDocument/2006/relationships/hyperlink" Id="rId84" Target="https://doi.org/10/ghqvcw" TargetMode="External" /><Relationship Type="http://schemas.openxmlformats.org/officeDocument/2006/relationships/hyperlink" Id="rId23" Target="https://jjcurtin.github.io/study_risk2/" TargetMode="External" /><Relationship Type="http://schemas.openxmlformats.org/officeDocument/2006/relationships/hyperlink" Id="rId20" Target="https://jjcurtin.github.io/study_risk2/index-preview.html" TargetMode="External" /><Relationship Type="http://schemas.openxmlformats.org/officeDocument/2006/relationships/hyperlink" Id="rId55" Target="https://jjcurtin.github.io/study_risk2/notebooks\mak_figures-preview.html#cell-fig-1" TargetMode="External" /><Relationship Type="http://schemas.openxmlformats.org/officeDocument/2006/relationships/hyperlink" Id="rId62" Target="https://jjcurtin.github.io/study_risk2/notebooks\mak_figures-preview.html#cell-fig-2" TargetMode="External" /><Relationship Type="http://schemas.openxmlformats.org/officeDocument/2006/relationships/hyperlink" Id="rId69" Target="https://jjcurtin.github.io/study_risk2/notebooks\mak_figures-preview.html#cell-fig-3" TargetMode="External" /><Relationship Type="http://schemas.openxmlformats.org/officeDocument/2006/relationships/hyperlink" Id="rId74" Target="https://jjcurtin.github.io/study_risk2/notebooks\mak_figures-preview.html#cell-fig-4" TargetMode="External" /><Relationship Type="http://schemas.openxmlformats.org/officeDocument/2006/relationships/hyperlink" Id="rId46" Target="https://jjcurtin.github.io/study_risk2/notebooks\mak_tables-preview.html#cell-tbl-1" TargetMode="External" /><Relationship Type="http://schemas.openxmlformats.org/officeDocument/2006/relationships/hyperlink" Id="rId50" Target="https://jjcurtin.github.io/study_risk2/notebooks\mak_tables-preview.html#cell-tbl-2" TargetMode="External" /><Relationship Type="http://schemas.openxmlformats.org/officeDocument/2006/relationships/hyperlink" Id="rId22"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2026-03-25T12:11:21Z</dcterms:created>
  <dcterms:modified xsi:type="dcterms:W3CDTF">2026-03-25T12:11:21Z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2026-03-23</vt:lpwstr>
  </property>
  <property fmtid="{D5CDD505-2E9C-101B-9397-08002B2CF9AE}" pid="12" name="editor_options">
    <vt:lpwstr/>
  </property>
  <property fmtid="{D5CDD505-2E9C-101B-9397-08002B2CF9AE}" pid="13" name="financial-support">
    <vt:lpwstr>This research was supported by a grant from the National Institute on Drug Abuse (NIDA; R01 DA047315 to John J. Curtin).</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