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2026-06-16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20 feature categories (</w:t>
      </w:r>
      <w:hyperlink w:anchor="fig-4">
        <w:r>
          <w:rPr>
            <w:rStyle w:val="Hyperlink"/>
          </w:rPr>
          <w:t xml:space="preserve">Figure 4</w:t>
        </w:r>
      </w:hyperlink>
      <w:r>
        <w:t xml:space="preserve">; Shapley-feature value plots for all feature categories are available in the supplement). The Y-axis represents the Shapley value for every observation for a specific feature category. Positive Shapley values indicate the feature category score positively adjusted the predicted probability (i.e., increased lapse risk) for that observation, whereas negative Shapley values indicate the feature category score negatively adjusted the predicted probability (i.e., decreased lapse risk). The X-axis represents the score for the feature category. For raw features, lower values indicate lower scores for the corresponding feature (e.g., lower intensity of urges, lower abstinence confidence, higher abstinent motivation, and less time in helpful or harmful locations) and higher values indicate higher feature scores (e.g., higher intensity of urges, higher abstinence confidence, lower abstinent motivation, and more time in helpful or harmful locations). For difference features, negative values indicate a feature category score that is lower than the individual’s baseline score (e.g., less reported opioid, stimulant, or sedative use, less time spent in helpful, harmful, pleasant, or unpleasant locations, less time spent at places where religious activities are performed, less location variance, fewer reported risky situations, lower abstinence confidence, and lower intensity of urges and anger compared to what is typical for an individual), 0 indicates no changes from baseline, and positive values indicate a feature category score that is higher than the individual’s baseline score (e.g., more reported opioid, stimulant, or sedative use, more time spent in helpful, harmful, pleasant, or unpleasant locations, more time spent at places where religious activities are performed, more location variance, more reported risky situations, higher abstinence confidence, and higher intensity of urges and anger compared to what is typical for an individual). For demographic features, the x-axis values map onto ordered categorical groupings with lower values indicating younger adults and more urban locations and higher values indicating older adults and more rural locations.</w:t>
      </w:r>
    </w:p>
    <w:p>
      <w:pPr>
        <w:pStyle w:val="BodyText"/>
      </w:pPr>
      <w:r>
        <w:t xml:space="preserve">The differences in past opioid use feature category showed lowered lapse risk probability for participants who did not lapse on study (i.e., a feature score of 0). However, positive differences in use (i.e., increased use over the past 24 and 168 hour feature scoring epochs compared to baseline use) notably increased lapse risk. Risk was relatively lower for participants who showed negative differences in use (i.e., reduced use over the past 24 and 168 hour feature scoring epochs compared to baseline use) compared to participants with positive differences, but it remained elevated compared to those who did not experience any lapses.</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The differences in stimulant use feature category showed that participants were at highest risk when there were negative differences in use (i.e., decreased recent stimulant use compared to their baseline). While, there was only a modest increase in lapse risk when positive differences in stimulant use were observed, compared to individuals who did not use any stimulants while on study, the raw stimulant use feature category (see supplement) showed a clear linear relationship of stimulant use with lapse risk.</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 More frequent opioid use, high intensity urges, low abstinence confidence, and less time spent in helpful locations all increased lapse risk. However, our use of raw and difference features allowed us to discover some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use of one substance could trigger many of the cognitive and physiological processes associated with opioid use.</w:t>
      </w:r>
      <w:r>
        <w:t xml:space="preserve"> </w:t>
      </w:r>
    </w:p>
    <w:p>
      <w:pPr>
        <w:pStyle w:val="BodyText"/>
      </w:pPr>
      <w:r>
        <w:t xml:space="preserve">We saw a similar pattern with urge ratings. Higher urges clearly increased lapse risk, however, recent decreases in urges also increased lapse risk. We were initially surprised by this finding, as these two statements appeared contradictory. However, individuals with extremely negative urge difference values must experience high intensity urges on average (so as to swing to a certain magnitude 2 points on a 5-point scale). Therefore it is possible that when these individuals, who have been at high risk of lapsing, suddenly experience lower intensity of urges they become less aware of potential triggers or experience a false sense of security.</w:t>
      </w:r>
    </w:p>
    <w:p>
      <w:pPr>
        <w:pStyle w:val="BodyText"/>
      </w:pPr>
      <w:r>
        <w:t xml:space="preserve">An unexpected finding, was that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whose relationship to religion and these locations may not generalize more broadly. Nevertheless, this feature did emerge as the 7th most important feature category, making it a worthwhile area to explore in future studies.</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2026-06-16T20:45:39Z</dcterms:created>
  <dcterms:modified xsi:type="dcterms:W3CDTF">2026-06-16T20:45:39Z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2026-06-16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