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2026-03-16</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elevated mortality and morbidity, including increased risk of infectious disease, psychiatric comorbidity, and disability</w:t>
      </w:r>
      <w:r>
        <w:t xml:space="preserve"> </w:t>
      </w:r>
      <w:r>
        <w:t xml:space="preserve">(Hser et al., July/August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 and treatment dropout is common. Sustained retention in treatment is a key determinant of positive outcomes.</w:t>
      </w:r>
    </w:p>
    <w:p>
      <w:pPr>
        <w:pStyle w:val="BodyText"/>
      </w:pPr>
      <w:r>
        <w:t xml:space="preserve">Lapses remain common even among individuals receiving MOUD and can increase the risk of treatment dropout, relapse, and overdose</w:t>
      </w:r>
      <w:r>
        <w:t xml:space="preserve"> </w:t>
      </w:r>
      <w:r>
        <w:t xml:space="preserve">(Heinz et al., 2025; Weinstein et al., 2017)</w:t>
      </w:r>
      <w:r>
        <w:t xml:space="preserve">. Opioid lapses are particularly high-risk events. Reduced opioid tolerance (e.g., after a period of abstinence) and increased prevalence of fentanyl and other synthetic opioids in the drug supply substantially increases the likelihood of fatal overdose.</w:t>
      </w:r>
    </w:p>
    <w:p>
      <w:pPr>
        <w:pStyle w:val="BodyText"/>
      </w:pPr>
      <w:r>
        <w:t xml:space="preserve">Identifying when an individual is at high lapse risk could enable earlier clinical intervention and potentially prevent relapse and overdose. However, risk for opioid lapse is dynamic and fluctuates in response to craving, affective states, environmental cues, and treatment adherence.</w:t>
      </w:r>
    </w:p>
    <w:p>
      <w:pPr>
        <w:pStyle w:val="BodyText"/>
      </w:pPr>
      <w:r>
        <w:t xml:space="preserve">Advances in smartphone sensing methods, including brief daily self-report surveys and passive geolocation sensing, offer a powerful way to collect densely sampled risk-relevant data. These data can be used as inputs into machine learning models to generate temporally precise predictions of lapse risk probability</w:t>
      </w:r>
      <w:r>
        <w:t xml:space="preserve"> </w:t>
      </w:r>
      <w:r>
        <w:t xml:space="preserve">(Heinz et al., 2025; Wyant et al., 2024)</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SUDs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w:t>
      </w:r>
    </w:p>
    <w:p>
      <w:pPr>
        <w:pStyle w:val="BodyText"/>
      </w:pPr>
      <w:r>
        <w:t xml:space="preserve">Aims of study</w:t>
      </w:r>
      <w:r>
        <w:t xml:space="preserve"> </w:t>
      </w:r>
      <w:r>
        <w:t xml:space="preserve">- Individuals in an MOUD program</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w:t>
      </w:r>
      <w:r>
        <w:rPr>
          <w:b/>
          <w:bCs/>
        </w:rPr>
        <w:t xml:space="preserve">collinsTRIPODAIStatementUpdated2024?</w:t>
      </w:r>
      <w:r>
        <w:t xml:space="preserve">)</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Olfson et al., 2022; Pinedo, 2019;</w:t>
      </w:r>
      <w:r>
        <w:t xml:space="preserve"> </w:t>
      </w:r>
      <w:r>
        <w:rPr>
          <w:b/>
          <w:bCs/>
        </w:rPr>
        <w:t xml:space="preserve">martinNeedReceiptSubstance2022?</w:t>
      </w:r>
      <w:r>
        <w:t xml:space="preserve">;</w:t>
      </w:r>
      <w:r>
        <w:t xml:space="preserve"> </w:t>
      </w:r>
      <w:r>
        <w:rPr>
          <w:b/>
          <w:bCs/>
        </w:rPr>
        <w:t xml:space="preserve">xinExploringIntersectionalityStigma2023?</w:t>
      </w:r>
      <w:r>
        <w:t xml:space="preserve">)</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w:t>
      </w:r>
      <w:r>
        <w:rPr>
          <w:b/>
          <w:bCs/>
        </w:rPr>
        <w:t xml:space="preserve">americanpsychiatricassociationDiagnosticStatisticalManual2022?</w:t>
      </w:r>
      <w:r>
        <w:t xml:space="preserve">)</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w:t>
      </w:r>
      <w:r>
        <w:rPr>
          <w:b/>
          <w:bCs/>
        </w:rPr>
        <w:t xml:space="preserve">vandewieleOverlyOptimisticPrediction2021?</w:t>
      </w:r>
      <w:r>
        <w:t xml:space="preserve">)</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w:t>
      </w:r>
      <w:r>
        <w:rPr>
          <w:b/>
          <w:bCs/>
        </w:rPr>
        <w:t xml:space="preserve">plattProbabilisticOutputsSupport1999?</w:t>
      </w:r>
      <w:r>
        <w:t xml:space="preserve">)</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p>
      <w:pPr>
        <w:numPr>
          <w:ilvl w:val="0"/>
          <w:numId w:val="1003"/>
        </w:numPr>
      </w:pPr>
      <w:r>
        <w:t xml:space="preserve">Participants provided data for up to 12 months. This extended window of recovery (12 months vs. 3 months) is critical for evaluating the value of an algorithm intended for ongoing continuing care support and understanding how lapse risk evolves as people progress in their recovery (i.e., past 3 months).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are better suited for understanding the temporal dynamics of lapse risk over long periods of recovery.</w:t>
      </w:r>
    </w:p>
    <w:p>
      <w:pPr>
        <w:numPr>
          <w:ilvl w:val="0"/>
          <w:numId w:val="1003"/>
        </w:numPr>
      </w:pPr>
      <w:r>
        <w:t xml:space="preserve">The longer duration of participation also provides the opportunity to experiment with lagged prediction windows further than two weeks into the future (i.e., 1 month). However, in a machine learning framework, different models must be built to predict lapses at varying times in the future. For example, a recovery monitoring support system that detects both immediate lapse risk (i.e., in the next 24 hours) and future lapse risk (i.e, in the next 2 weeks and in the next month) would need three models. This approach is time consuming, cumbersome, and still only provides coarse understanding of time-course. Therefore, this study will only predict immediate lapse risk.</w:t>
      </w:r>
    </w:p>
    <w:bookmarkEnd w:id="77"/>
    <w:bookmarkStart w:id="122" w:name="references"/>
    <w:p>
      <w:pPr>
        <w:pStyle w:val="Heading1"/>
      </w:pPr>
      <w:r>
        <w:t xml:space="preserve">References</w:t>
      </w:r>
    </w:p>
    <w:bookmarkStart w:id="121" w:name="refs"/>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5"/>
    <w:bookmarkStart w:id="87"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6">
        <w:r>
          <w:rPr>
            <w:rStyle w:val="Hyperlink"/>
          </w:rPr>
          <w:t xml:space="preserve">https://doi.org/10.1016/j.drugalcdep.2006.05.012</w:t>
        </w:r>
      </w:hyperlink>
    </w:p>
    <w:bookmarkEnd w:id="87"/>
    <w:bookmarkStart w:id="8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8">
        <w:r>
          <w:rPr>
            <w:rStyle w:val="Hyperlink"/>
          </w:rPr>
          <w:t xml:space="preserve">https://doi.org/10.1001/jamapsychiatry.2013.4642</w:t>
        </w:r>
      </w:hyperlink>
    </w:p>
    <w:bookmarkEnd w:id="89"/>
    <w:bookmarkStart w:id="9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0"/>
    <w:bookmarkStart w:id="9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1">
        <w:r>
          <w:rPr>
            <w:rStyle w:val="Hyperlink"/>
          </w:rPr>
          <w:t xml:space="preserve">https://doi.org/10.1016/j.josat.2025.209685</w:t>
        </w:r>
      </w:hyperlink>
    </w:p>
    <w:bookmarkEnd w:id="92"/>
    <w:bookmarkStart w:id="94" w:name="ref-hserHighMortalityPatients2017"/>
    <w:p>
      <w:pPr>
        <w:pStyle w:val="Bibliography"/>
      </w:pPr>
      <w:r>
        <w:t xml:space="preserve">Hser, Y.-I., Mooney, L. J., Saxon, A. J., Miotto, K., Bell, D. S., Zhu, Y., Liang, D., &amp; Huang, D. (July/August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3">
        <w:r>
          <w:rPr>
            <w:rStyle w:val="Hyperlink"/>
          </w:rPr>
          <w:t xml:space="preserve">https://doi.org/10.1097/ADM.0000000000000312</w:t>
        </w:r>
      </w:hyperlink>
    </w:p>
    <w:bookmarkEnd w:id="94"/>
    <w:bookmarkStart w:id="96"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5">
        <w:r>
          <w:rPr>
            <w:rStyle w:val="Hyperlink"/>
          </w:rPr>
          <w:t xml:space="preserve">https://doi.org/10/gfsjzg</w:t>
        </w:r>
      </w:hyperlink>
    </w:p>
    <w:bookmarkEnd w:id="96"/>
    <w:bookmarkStart w:id="9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7">
        <w:r>
          <w:rPr>
            <w:rStyle w:val="Hyperlink"/>
          </w:rPr>
          <w:t xml:space="preserve">https://doi.org/10.1001/jamanetworkopen.2020.5852</w:t>
        </w:r>
      </w:hyperlink>
    </w:p>
    <w:bookmarkEnd w:id="98"/>
    <w:bookmarkStart w:id="9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9"/>
    <w:bookmarkStart w:id="10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0"/>
    <w:bookmarkStart w:id="102"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01">
        <w:r>
          <w:rPr>
            <w:rStyle w:val="Hyperlink"/>
          </w:rPr>
          <w:t xml:space="preserve">https://doi.org/10.1111/jrh.70076</w:t>
        </w:r>
      </w:hyperlink>
    </w:p>
    <w:bookmarkEnd w:id="102"/>
    <w:bookmarkStart w:id="103"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3"/>
    <w:bookmarkStart w:id="105"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4">
        <w:r>
          <w:rPr>
            <w:rStyle w:val="Hyperlink"/>
          </w:rPr>
          <w:t xml:space="preserve">https://doi.org/10.1038/s41380-018-0094-5</w:t>
        </w:r>
      </w:hyperlink>
    </w:p>
    <w:bookmarkEnd w:id="105"/>
    <w:bookmarkStart w:id="107"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06">
        <w:r>
          <w:rPr>
            <w:rStyle w:val="Hyperlink"/>
          </w:rPr>
          <w:t xml:space="preserve">https://doi.org/10.2196/29563</w:t>
        </w:r>
      </w:hyperlink>
    </w:p>
    <w:bookmarkEnd w:id="107"/>
    <w:bookmarkStart w:id="109"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8">
        <w:r>
          <w:rPr>
            <w:rStyle w:val="Hyperlink"/>
          </w:rPr>
          <w:t xml:space="preserve">https://doi.org/10.1016/j.jsat.2021.108710</w:t>
        </w:r>
      </w:hyperlink>
    </w:p>
    <w:bookmarkEnd w:id="109"/>
    <w:bookmarkStart w:id="111"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0">
        <w:r>
          <w:rPr>
            <w:rStyle w:val="Hyperlink"/>
          </w:rPr>
          <w:t xml:space="preserve">https://doi.org/10.1016/j.drugalcdep.2019.05.017</w:t>
        </w:r>
      </w:hyperlink>
    </w:p>
    <w:bookmarkEnd w:id="111"/>
    <w:bookmarkStart w:id="112"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12"/>
    <w:bookmarkStart w:id="114"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13">
        <w:r>
          <w:rPr>
            <w:rStyle w:val="Hyperlink"/>
          </w:rPr>
          <w:t xml:space="preserve">https://doi.org/10.1016/j.landig.2025.100916</w:t>
        </w:r>
      </w:hyperlink>
    </w:p>
    <w:bookmarkEnd w:id="114"/>
    <w:bookmarkStart w:id="116"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115">
        <w:r>
          <w:rPr>
            <w:rStyle w:val="Hyperlink"/>
          </w:rPr>
          <w:t xml:space="preserve">https://doi.org/10.1016/j.jsat.2016.12.010</w:t>
        </w:r>
      </w:hyperlink>
    </w:p>
    <w:bookmarkEnd w:id="116"/>
    <w:bookmarkStart w:id="118"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17">
        <w:r>
          <w:rPr>
            <w:rStyle w:val="Hyperlink"/>
          </w:rPr>
          <w:t xml:space="preserve">https://doi.org/10.2196/41833</w:t>
        </w:r>
      </w:hyperlink>
    </w:p>
    <w:bookmarkEnd w:id="118"/>
    <w:bookmarkStart w:id="12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19">
        <w:r>
          <w:rPr>
            <w:rStyle w:val="Hyperlink"/>
          </w:rPr>
          <w:t xml:space="preserve">https://doi.org/10.31234/osf.io/cgsf7</w:t>
        </w:r>
      </w:hyperlink>
    </w:p>
    <w:bookmarkEnd w:id="120"/>
    <w:bookmarkEnd w:id="121"/>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0"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5" Target="https://doi.org/10.1016/j.jsat.2016.12.010" TargetMode="External" /><Relationship Type="http://schemas.openxmlformats.org/officeDocument/2006/relationships/hyperlink" Id="rId108" Target="https://doi.org/10.1016/j.jsat.2021.108710" TargetMode="External" /><Relationship Type="http://schemas.openxmlformats.org/officeDocument/2006/relationships/hyperlink" Id="rId113"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78" Target="https://doi.org/10.21231/GNT1-HW21" TargetMode="External" /><Relationship Type="http://schemas.openxmlformats.org/officeDocument/2006/relationships/hyperlink" Id="rId106"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0"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5" Target="https://doi.org/10.1016/j.jsat.2016.12.010" TargetMode="External" /><Relationship Type="http://schemas.openxmlformats.org/officeDocument/2006/relationships/hyperlink" Id="rId108" Target="https://doi.org/10.1016/j.jsat.2021.108710" TargetMode="External" /><Relationship Type="http://schemas.openxmlformats.org/officeDocument/2006/relationships/hyperlink" Id="rId113"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78" Target="https://doi.org/10.21231/GNT1-HW21" TargetMode="External" /><Relationship Type="http://schemas.openxmlformats.org/officeDocument/2006/relationships/hyperlink" Id="rId106"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2026-03-16T23:44:00Z</dcterms:created>
  <dcterms:modified xsi:type="dcterms:W3CDTF">2026-03-16T23:44:00Z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2026-03-16</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