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predict future next-day lapses back to opioid use with high accuracy using smartphone sensing methods (auROC = 0.94). Our model’s predictions were well-calibrated, meaning that our probabilities closely matched true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substance use studies have collected daily survey data from participants continuously over the course of one year. Survey adherence rates in our sample were comparable to those observed in other clinical populations, suggesting that self‑report surveys are a feasible and scalable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independent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numPr>
          <w:ilvl w:val="0"/>
          <w:numId w:val="1003"/>
        </w:numPr>
      </w:pPr>
      <w:r>
        <w:t xml:space="preserve">Top features</w:t>
      </w:r>
    </w:p>
    <w:p>
      <w:pPr>
        <w:numPr>
          <w:ilvl w:val="0"/>
          <w:numId w:val="1003"/>
        </w:numPr>
      </w:pPr>
      <w:r>
        <w:t xml:space="preserve">paid, and withdrawn for adherence, stillk nearly 78% of paprticipnat rmeainf on study for 6 months with this exckludion criteia</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2026-03-23T15:39:16Z</dcterms:created>
  <dcterms:modified xsi:type="dcterms:W3CDTF">2026-03-23T15:39:16Z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