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Dynamic lapse risk prediction in a national sample of individuals with opioid use disorder using personal sensing and machine learning</w:t>
      </w:r>
    </w:p>
    <w:p>
      <w:pPr>
        <w:pStyle w:val="Author"/>
      </w:pPr>
      <w:r>
        <w:t xml:space="preserve">Kendra Wyant</w:t>
      </w:r>
    </w:p>
    <w:p>
      <w:pPr>
        <w:pStyle w:val="Author"/>
      </w:pPr>
      <w:r>
        <w:t xml:space="preserve">John J. Curtin</w:t>
      </w:r>
    </w:p>
    <w:p>
      <w:pPr>
        <w:pStyle w:val="Date"/>
      </w:pPr>
      <w:r>
        <w:t xml:space="preserve">2025-12-27</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Our data,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-TRIPOD+AI checklist</w:t>
      </w:r>
      <w:r>
        <w:t xml:space="preserve"> </w:t>
      </w:r>
      <w:r>
        <w:t xml:space="preserve">(Collins et al., 2024)</w:t>
      </w:r>
    </w:p>
    <w:bookmarkEnd w:id="23"/>
    <w:bookmarkStart w:id="24" w:name="participants"/>
    <w:p>
      <w:pPr>
        <w:pStyle w:val="Heading2"/>
      </w:pPr>
      <w:r>
        <w:t xml:space="preserve">Participants</w:t>
      </w:r>
    </w:p>
    <w:bookmarkEnd w:id="24"/>
    <w:bookmarkStart w:id="25" w:name="procedure"/>
    <w:p>
      <w:pPr>
        <w:pStyle w:val="Heading2"/>
      </w:pPr>
      <w:r>
        <w:t xml:space="preserve">Procedure</w:t>
      </w:r>
    </w:p>
    <w:p>
      <w:pPr>
        <w:pStyle w:val="FirstParagraph"/>
      </w:pPr>
      <w:r>
        <w:t xml:space="preserve">All procedures were approved by the University of Wisconsin-Madison Institutional Review Board</w:t>
      </w:r>
      <w:r>
        <w:t xml:space="preserve"> </w:t>
      </w:r>
      <w:r>
        <w:t xml:space="preserve"> </w:t>
      </w:r>
      <w:r>
        <w:t xml:space="preserve">All participants provided written informed consent.</w:t>
      </w:r>
    </w:p>
    <w:bookmarkEnd w:id="25"/>
    <w:bookmarkStart w:id="28" w:name="measures"/>
    <w:p>
      <w:pPr>
        <w:pStyle w:val="Heading2"/>
      </w:pPr>
      <w:r>
        <w:t xml:space="preserve">Measures</w:t>
      </w:r>
    </w:p>
    <w:bookmarkStart w:id="26" w:name="individual-characteristics"/>
    <w:p>
      <w:pPr>
        <w:pStyle w:val="Heading3"/>
      </w:pPr>
      <w:r>
        <w:t xml:space="preserve">Individual Characteristics</w:t>
      </w:r>
    </w:p>
    <w:bookmarkEnd w:id="26"/>
    <w:bookmarkStart w:id="27" w:name="ecological-momentary-assessment"/>
    <w:p>
      <w:pPr>
        <w:pStyle w:val="Heading3"/>
      </w:pPr>
      <w:r>
        <w:t xml:space="preserve">Ecological Momentary Assessment</w:t>
      </w:r>
    </w:p>
    <w:bookmarkEnd w:id="27"/>
    <w:bookmarkEnd w:id="28"/>
    <w:bookmarkStart w:id="29" w:name="geolocation-sensing"/>
    <w:p>
      <w:pPr>
        <w:pStyle w:val="Heading2"/>
      </w:pPr>
      <w:r>
        <w:t xml:space="preserve">Geolocation Sensing</w:t>
      </w:r>
    </w:p>
    <w:bookmarkEnd w:id="29"/>
    <w:bookmarkStart w:id="34"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0" w:name="model-selection"/>
    <w:p>
      <w:pPr>
        <w:pStyle w:val="Heading3"/>
      </w:pPr>
      <w:r>
        <w:t xml:space="preserve">Model Selection</w:t>
      </w:r>
    </w:p>
    <w:p>
      <w:pPr>
        <w:pStyle w:val="FirstParagraph"/>
      </w:pPr>
      <w:r>
        <w:t xml:space="preserve">The best model configuration was selected using 6 repeats of participant-grouped 5-fold cross-validation. Folds were stratified by a between-subject measure of our outcome (no lapse vs. any lapse). Model configurations differed on:</w:t>
      </w:r>
    </w:p>
    <w:p>
      <w:pPr>
        <w:numPr>
          <w:ilvl w:val="0"/>
          <w:numId w:val="1001"/>
        </w:numPr>
      </w:pPr>
      <w:r>
        <w:t xml:space="preserve">Statistical algorithm (and hyperparameter tuning)</w:t>
      </w:r>
    </w:p>
    <w:p>
      <w:pPr>
        <w:numPr>
          <w:ilvl w:val="0"/>
          <w:numId w:val="1001"/>
        </w:numPr>
      </w:pPr>
      <w:r>
        <w:t xml:space="preserve">Feature set</w:t>
      </w:r>
    </w:p>
    <w:p>
      <w:pPr>
        <w:numPr>
          <w:ilvl w:val="0"/>
          <w:numId w:val="1001"/>
        </w:numPr>
      </w:pPr>
      <w:r>
        <w:t xml:space="preserve">Resampling of minority outcome</w:t>
      </w:r>
    </w:p>
    <w:p>
      <w:pPr>
        <w:pStyle w:val="FirstParagraph"/>
      </w:pPr>
      <w:r>
        <w:t xml:space="preserve">Features had missing values if the participant did not respond to the relevant EMA question during the associated scoring epoch. The proportion of missing values across features was low</w:t>
      </w:r>
      <w:r>
        <w:t xml:space="preserve"> </w:t>
      </w:r>
      <w:r>
        <w:t xml:space="preserve">.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bookmarkEnd w:id="30"/>
    <w:bookmarkStart w:id="31"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the 30 held-out test sets for our best performing model. We used weakly informative, data-dependent priors to regularize and reduce overfitting. Random intercepts were included for repeat and fold (nested within repeat).</w:t>
      </w:r>
    </w:p>
    <w:p>
      <w:pPr>
        <w:pStyle w:val="BodyText"/>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(small town/rural vs. urban/suburban), and education (high school or less vs. some college). We conducted Bayesian group comparisons to assess the likelihood that each model performs differently by group.</w:t>
      </w:r>
    </w:p>
    <w:p>
      <w:pPr>
        <w:pStyle w:val="Compact"/>
        <w:numPr>
          <w:ilvl w:val="0"/>
          <w:numId w:val="1002"/>
        </w:numPr>
      </w:pPr>
      <w:r>
        <w:t xml:space="preserve">following best practices for model reporting</w:t>
      </w:r>
      <w:r>
        <w:t xml:space="preserve"> </w:t>
      </w:r>
      <w:r>
        <w:t xml:space="preserve">(Van Calster et al., 2025)</w:t>
      </w:r>
    </w:p>
    <w:bookmarkEnd w:id="31"/>
    <w:bookmarkStart w:id="32"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also provide calibration plots for the raw and calibrated probabilities.</w:t>
      </w:r>
    </w:p>
    <w:bookmarkEnd w:id="32"/>
    <w:bookmarkStart w:id="33" w:name="feature-importance"/>
    <w:p>
      <w:pPr>
        <w:pStyle w:val="Heading3"/>
      </w:pPr>
      <w:r>
        <w:t xml:space="preserve">Feature Importance</w:t>
      </w:r>
    </w:p>
    <w:bookmarkEnd w:id="33"/>
    <w:bookmarkEnd w:id="34"/>
    <w:bookmarkEnd w:id="35"/>
    <w:bookmarkStart w:id="54" w:name="results"/>
    <w:p>
      <w:pPr>
        <w:pStyle w:val="Heading1"/>
      </w:pPr>
      <w:r>
        <w:t xml:space="preserve">Results</w:t>
      </w:r>
    </w:p>
    <w:bookmarkStart w:id="37" w:name="participants-1"/>
    <w:p>
      <w:pPr>
        <w:pStyle w:val="Heading2"/>
      </w:pPr>
      <w:r>
        <w:t xml:space="preserve">Participants</w:t>
      </w:r>
    </w:p>
    <w:p>
      <w:pPr>
        <w:pStyle w:val="FirstParagraph"/>
      </w:pPr>
      <w:r>
        <w:t xml:space="preserve">Data were collected from April 2021 through December 2024. A total of 336 participants were eligible, consented, and remained on study for at least one month. Our final analysis sample consisted of 301 participants. Ten participants were excluded due to unusually low adherence, 13 participants were excluded due to insufficient context data for geolocation points, 4 participants were excluded due to frequent lapses suggesting they no longer had a goal of abstinence, 8 participants were excluded due to careless responding. A summary of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35.9</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35.5</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19.9</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160</w:t>
                  </w:r>
                </w:p>
              </w:tc>
              <w:tc>
                <w:tcPr/>
                <w:p>
                  <w:pPr>
                    <w:pStyle w:val="Compact"/>
                    <w:jc w:val="right"/>
                    <w:jc w:val="center"/>
                  </w:pPr>
                  <w:r>
                    <w:t xml:space="preserve">53.2</w:t>
                  </w:r>
                </w:p>
              </w:tc>
            </w:tr>
            <w:tr>
              <w:tc>
                <w:tcPr/>
                <w:p>
                  <w:pPr>
                    <w:pStyle w:val="Compact"/>
                    <w:jc w:val="left"/>
                    <w:jc w:val="center"/>
                  </w:pPr>
                  <w:r>
                    <w:t xml:space="preserve">Woman</w:t>
                  </w:r>
                </w:p>
              </w:tc>
              <w:tc>
                <w:tcPr/>
                <w:p>
                  <w:pPr>
                    <w:pStyle w:val="Compact"/>
                    <w:jc w:val="right"/>
                    <w:jc w:val="center"/>
                  </w:pPr>
                  <w:r>
                    <w:t xml:space="preserve">134</w:t>
                  </w:r>
                </w:p>
              </w:tc>
              <w:tc>
                <w:tcPr/>
                <w:p>
                  <w:pPr>
                    <w:pStyle w:val="Compact"/>
                    <w:jc w:val="right"/>
                    <w:jc w:val="center"/>
                  </w:pPr>
                  <w:r>
                    <w:t xml:space="preserve">44.5</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79.1</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40</w:t>
                  </w:r>
                </w:p>
              </w:tc>
              <w:tc>
                <w:tcPr/>
                <w:p>
                  <w:pPr>
                    <w:pStyle w:val="Compact"/>
                    <w:jc w:val="right"/>
                    <w:jc w:val="center"/>
                  </w:pPr>
                  <w:r>
                    <w:t xml:space="preserve">13.3</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5.6</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46</w:t>
                  </w:r>
                </w:p>
              </w:tc>
              <w:tc>
                <w:tcPr/>
                <w:p>
                  <w:pPr>
                    <w:pStyle w:val="Compact"/>
                    <w:jc w:val="right"/>
                    <w:jc w:val="center"/>
                  </w:pPr>
                  <w:r>
                    <w:t xml:space="preserve">15.3</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78.7</w:t>
                  </w:r>
                </w:p>
              </w:tc>
            </w:tr>
            <w:tr>
              <w:tc>
                <w:tcPr/>
                <w:p>
                  <w:pPr>
                    <w:pStyle w:val="Compact"/>
                    <w:jc w:val="left"/>
                    <w:jc w:val="center"/>
                  </w:pPr>
                  <w:r>
                    <w:t xml:space="preserve">Hispanic, Latino, or Spanish origin</w:t>
                  </w:r>
                </w:p>
              </w:tc>
              <w:tc>
                <w:tcPr/>
                <w:p>
                  <w:pPr>
                    <w:pStyle w:val="Compact"/>
                    <w:jc w:val="right"/>
                    <w:jc w:val="center"/>
                  </w:pPr>
                  <w:r>
                    <w:t xml:space="preserve">24</w:t>
                  </w:r>
                </w:p>
              </w:tc>
              <w:tc>
                <w:tcPr/>
                <w:p>
                  <w:pPr>
                    <w:pStyle w:val="Compact"/>
                    <w:jc w:val="right"/>
                    <w:jc w:val="center"/>
                  </w:pPr>
                  <w:r>
                    <w:t xml:space="preserve">8.0</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20.6</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91.0</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95</w:t>
                  </w:r>
                </w:p>
              </w:tc>
              <w:tc>
                <w:tcPr/>
                <w:p>
                  <w:pPr>
                    <w:pStyle w:val="Compact"/>
                    <w:jc w:val="right"/>
                    <w:jc w:val="center"/>
                  </w:pPr>
                  <w:r>
                    <w:t xml:space="preserve">31.6</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43.5</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66</w:t>
                  </w:r>
                </w:p>
              </w:tc>
              <w:tc>
                <w:tcPr/>
                <w:p>
                  <w:pPr>
                    <w:pStyle w:val="Compact"/>
                    <w:jc w:val="right"/>
                    <w:jc w:val="center"/>
                  </w:pPr>
                  <w:r>
                    <w:t xml:space="preserve">21.9</w:t>
                  </w:r>
                </w:p>
              </w:tc>
            </w:tr>
            <w:tr>
              <w:tc>
                <w:tcPr/>
                <w:p>
                  <w:pPr>
                    <w:pStyle w:val="Compact"/>
                    <w:jc w:val="left"/>
                    <w:jc w:val="center"/>
                  </w:pPr>
                  <w:r>
                    <w:t xml:space="preserve">Employed, working 40 or more hours per week</w:t>
                  </w:r>
                </w:p>
              </w:tc>
              <w:tc>
                <w:tcPr/>
                <w:p>
                  <w:pPr>
                    <w:pStyle w:val="Compact"/>
                    <w:jc w:val="right"/>
                    <w:jc w:val="center"/>
                  </w:pPr>
                  <w:r>
                    <w:t xml:space="preserve">56</w:t>
                  </w:r>
                </w:p>
              </w:tc>
              <w:tc>
                <w:tcPr/>
                <w:p>
                  <w:pPr>
                    <w:pStyle w:val="Compact"/>
                    <w:jc w:val="right"/>
                    <w:jc w:val="center"/>
                  </w:pPr>
                  <w:r>
                    <w:t xml:space="preserve">18.6</w:t>
                  </w:r>
                </w:p>
              </w:tc>
            </w:tr>
            <w:tr>
              <w:tc>
                <w:tcPr/>
                <w:p>
                  <w:pPr>
                    <w:pStyle w:val="Compact"/>
                    <w:jc w:val="left"/>
                    <w:jc w:val="center"/>
                  </w:pPr>
                  <w:r>
                    <w:t xml:space="preserve">Not employed, NOT looking for work</w:t>
                  </w:r>
                </w:p>
              </w:tc>
              <w:tc>
                <w:tcPr/>
                <w:p>
                  <w:pPr>
                    <w:pStyle w:val="Compact"/>
                    <w:jc w:val="right"/>
                    <w:jc w:val="center"/>
                  </w:pPr>
                  <w:r>
                    <w:t xml:space="preserve">31</w:t>
                  </w:r>
                </w:p>
              </w:tc>
              <w:tc>
                <w:tcPr/>
                <w:p>
                  <w:pPr>
                    <w:pStyle w:val="Compact"/>
                    <w:jc w:val="right"/>
                    <w:jc w:val="center"/>
                  </w:pPr>
                  <w:r>
                    <w:t xml:space="preserve">10.3</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170</w:t>
                  </w:r>
                </w:p>
              </w:tc>
              <w:tc>
                <w:tcPr/>
                <w:p>
                  <w:pPr>
                    <w:pStyle w:val="Compact"/>
                    <w:jc w:val="right"/>
                    <w:jc w:val="center"/>
                  </w:pPr>
                  <w:r>
                    <w:t xml:space="preserve">56.5</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13.6</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12.6</w:t>
                  </w:r>
                </w:p>
              </w:tc>
            </w:tr>
            <w:tr>
              <w:tc>
                <w:tcPr/>
                <w:p>
                  <w:pPr>
                    <w:pStyle w:val="Compact"/>
                    <w:jc w:val="left"/>
                    <w:jc w:val="center"/>
                  </w:pPr>
                  <w:r>
                    <w:t xml:space="preserve">$50,000 - $74,999</w:t>
                  </w:r>
                </w:p>
              </w:tc>
              <w:tc>
                <w:tcPr/>
                <w:p>
                  <w:pPr>
                    <w:pStyle w:val="Compact"/>
                    <w:jc w:val="right"/>
                    <w:jc w:val="center"/>
                  </w:pPr>
                  <w:r>
                    <w:t xml:space="preserve">28</w:t>
                  </w:r>
                </w:p>
              </w:tc>
              <w:tc>
                <w:tcPr/>
                <w:p>
                  <w:pPr>
                    <w:pStyle w:val="Compact"/>
                    <w:jc w:val="right"/>
                    <w:jc w:val="center"/>
                  </w:pPr>
                  <w:r>
                    <w:t xml:space="preserve">9.3</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8</w:t>
                  </w:r>
                </w:p>
              </w:tc>
              <w:tc>
                <w:tcPr/>
                <w:p>
                  <w:pPr>
                    <w:pStyle w:val="Compact"/>
                    <w:jc w:val="right"/>
                    <w:jc w:val="center"/>
                  </w:pPr>
                  <w:r>
                    <w:t xml:space="preserve">2.7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286</w:t>
                  </w:r>
                </w:p>
              </w:tc>
              <w:tc>
                <w:tcPr/>
                <w:p>
                  <w:pPr>
                    <w:pStyle w:val="Compact"/>
                    <w:jc w:val="right"/>
                    <w:jc w:val="center"/>
                  </w:pPr>
                  <w:r>
                    <w:t xml:space="preserve">95.0</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202</w:t>
                  </w:r>
                </w:p>
              </w:tc>
              <w:tc>
                <w:tcPr/>
                <w:p>
                  <w:pPr>
                    <w:pStyle w:val="Compact"/>
                    <w:jc w:val="right"/>
                    <w:jc w:val="center"/>
                  </w:pPr>
                  <w:r>
                    <w:t xml:space="preserve">67.1</w:t>
                  </w:r>
                </w:p>
              </w:tc>
            </w:tr>
            <w:tr>
              <w:tc>
                <w:tcPr/>
                <w:p>
                  <w:pPr>
                    <w:pStyle w:val="Compact"/>
                    <w:jc w:val="left"/>
                    <w:jc w:val="center"/>
                  </w:pPr>
                  <w:r>
                    <w:t xml:space="preserve">Yes</w:t>
                  </w:r>
                </w:p>
              </w:tc>
              <w:tc>
                <w:tcPr/>
                <w:p>
                  <w:pPr>
                    <w:pStyle w:val="Compact"/>
                    <w:jc w:val="right"/>
                    <w:jc w:val="center"/>
                  </w:pPr>
                  <w:r>
                    <w:t xml:space="preserve">97</w:t>
                  </w:r>
                </w:p>
              </w:tc>
              <w:tc>
                <w:tcPr/>
                <w:p>
                  <w:pPr>
                    <w:pStyle w:val="Compact"/>
                    <w:jc w:val="right"/>
                    <w:jc w:val="center"/>
                  </w:pPr>
                  <w:r>
                    <w:t xml:space="preserve">32.2</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195</w:t>
                  </w:r>
                </w:p>
              </w:tc>
              <w:tc>
                <w:tcPr/>
                <w:p>
                  <w:pPr>
                    <w:pStyle w:val="Compact"/>
                    <w:jc w:val="right"/>
                    <w:jc w:val="center"/>
                  </w:pPr>
                  <w:r>
                    <w:t xml:space="preserve">64.8</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34.9</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154</w:t>
                  </w:r>
                </w:p>
              </w:tc>
              <w:tc>
                <w:tcPr/>
                <w:p>
                  <w:pPr>
                    <w:pStyle w:val="Compact"/>
                    <w:jc w:val="right"/>
                    <w:jc w:val="center"/>
                  </w:pPr>
                  <w:r>
                    <w:t xml:space="preserve">51.2</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48.5</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17.6</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39.9</w:t>
                  </w:r>
                </w:p>
              </w:tc>
            </w:tr>
            <w:tr>
              <w:tc>
                <w:tcPr/>
                <w:p>
                  <w:pPr>
                    <w:pStyle w:val="Compact"/>
                    <w:jc w:val="left"/>
                    <w:jc w:val="center"/>
                  </w:pPr>
                  <w:r>
                    <w:t xml:space="preserve">Prescription opioid not for opioid treatment</w:t>
                  </w:r>
                </w:p>
              </w:tc>
              <w:tc>
                <w:tcPr/>
                <w:p>
                  <w:pPr>
                    <w:pStyle w:val="Compact"/>
                    <w:jc w:val="right"/>
                    <w:jc w:val="center"/>
                  </w:pPr>
                  <w:r>
                    <w:t xml:space="preserve">96</w:t>
                  </w:r>
                </w:p>
              </w:tc>
              <w:tc>
                <w:tcPr/>
                <w:p>
                  <w:pPr>
                    <w:pStyle w:val="Compact"/>
                    <w:jc w:val="right"/>
                    <w:jc w:val="center"/>
                  </w:pPr>
                  <w:r>
                    <w:t xml:space="preserve">31.9</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9.6</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34.2</w:t>
                  </w:r>
                </w:p>
              </w:tc>
            </w:tr>
            <w:tr>
              <w:tc>
                <w:tcPr/>
                <w:p>
                  <w:pPr>
                    <w:pStyle w:val="Compact"/>
                    <w:jc w:val="left"/>
                    <w:jc w:val="center"/>
                  </w:pPr>
                  <w:r>
                    <w:t xml:space="preserve">Oral</w:t>
                  </w:r>
                </w:p>
              </w:tc>
              <w:tc>
                <w:tcPr/>
                <w:p>
                  <w:pPr>
                    <w:pStyle w:val="Compact"/>
                    <w:jc w:val="right"/>
                    <w:jc w:val="center"/>
                  </w:pPr>
                  <w:r>
                    <w:t xml:space="preserve">57</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17.9</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27.6</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126</w:t>
                  </w:r>
                </w:p>
              </w:tc>
              <w:tc>
                <w:tcPr/>
                <w:p>
                  <w:pPr>
                    <w:pStyle w:val="Compact"/>
                    <w:jc w:val="right"/>
                    <w:jc w:val="center"/>
                  </w:pPr>
                  <w:r>
                    <w:t xml:space="preserve">41.9</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71</w:t>
                  </w:r>
                </w:p>
              </w:tc>
              <w:tc>
                <w:tcPr/>
                <w:p>
                  <w:pPr>
                    <w:pStyle w:val="Compact"/>
                    <w:jc w:val="right"/>
                    <w:jc w:val="center"/>
                  </w:pPr>
                  <w:r>
                    <w:t xml:space="preserve">23.6</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8.6</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301</w:t>
                  </w:r>
                </w:p>
              </w:tc>
              <w:tc>
                <w:tcPr/>
                <w:p>
                  <w:pPr>
                    <w:pStyle w:val="Compact"/>
                  </w:pPr>
                </w:p>
              </w:tc>
              <w:tc>
                <w:tcPr/>
                <w:p>
                  <w:pPr>
                    <w:pStyle w:val="Compact"/>
                  </w:pPr>
                </w:p>
              </w:tc>
            </w:tr>
          </w:tbl>
          <w:bookmarkEnd w:id="36"/>
          <w:p/>
        </w:tc>
      </w:tr>
    </w:tbl>
    <w:bookmarkEnd w:id="37"/>
    <w:bookmarkStart w:id="38" w:name="adherence-and-labels"/>
    <w:p>
      <w:pPr>
        <w:pStyle w:val="Heading2"/>
      </w:pPr>
      <w:r>
        <w:t xml:space="preserve">Adherence and Labels</w:t>
      </w:r>
    </w:p>
    <w:p>
      <w:pPr>
        <w:pStyle w:val="FirstParagraph"/>
      </w:pPr>
      <w:r>
        <w:t xml:space="preserve">Median days on study across participants was 356 days (range 32-395 days). 83% of participants remained on study for at least six months. EMA adherence was high. On average participants completed 73% of the daily EMA prompts (range 24-100%). Participants provided on average</w:t>
      </w:r>
      <w:r>
        <w:t xml:space="preserve"> </w:t>
      </w:r>
    </w:p>
    <w:p>
      <w:pPr>
        <w:pStyle w:val="BodyText"/>
      </w:pPr>
      <w:r>
        <w:t xml:space="preserve">Across participants we generated a total of 89,125 labels. Thirty-nine percent of participants reported an opioid lapse while on study (mean=5.34, range 0-76). This resulted in 1.80% of the labels positive for lapse (1,608/89,125 labels).</w:t>
      </w:r>
    </w:p>
    <w:bookmarkEnd w:id="38"/>
    <w:bookmarkStart w:id="43" w:name="performance"/>
    <w:p>
      <w:pPr>
        <w:pStyle w:val="Heading2"/>
      </w:pPr>
      <w:r>
        <w:t xml:space="preserve">Performance</w:t>
      </w:r>
    </w:p>
    <w:p>
      <w:pPr>
        <w:pStyle w:val="FirstParagraph"/>
      </w:pPr>
      <w:r>
        <w:t xml:space="preserve">The best model configuration was a down-sampled xgboost statistical algorithm that used only the dynamic feature set (i.e., features from EMA and geolocation). The median posterior probability for the best model was 0.93, with narrow 95% CI ([0.92, 0.94]).</w:t>
      </w:r>
    </w:p>
    <w:p>
      <w:pPr>
        <w:pStyle w:val="BodyText"/>
      </w:pPr>
      <w:r>
        <w:t xml:space="preserve">We compared our best model’s performance to a baseline model that only used information gathered at baseline (demographics and individual differences in OUD characteristics) to evaluate the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09999"/>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2"/>
        </w:tc>
      </w:tr>
    </w:tbl>
    <w:bookmarkEnd w:id="43"/>
    <w:bookmarkStart w:id="48" w:name="calibration-1"/>
    <w:p>
      <w:pPr>
        <w:pStyle w:val="Heading2"/>
      </w:pPr>
      <w:r>
        <w:t xml:space="preserve">Calibration</w:t>
      </w:r>
    </w:p>
    <w:p>
      <w:pPr>
        <w:pStyle w:val="FirstParagraph"/>
      </w:pPr>
      <w:r>
        <w:t xml:space="preserve">Our raw model predicted probabilities were generally well-calibrated (brier score = 0.015).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47" w:name="fig-2"/>
          <w:p>
            <w:pPr>
              <w:pStyle w:val="Compact"/>
              <w:jc w:val="center"/>
            </w:pPr>
            <w:r>
              <w:drawing>
                <wp:inline>
                  <wp:extent cx="5334000" cy="3809999"/>
                  <wp:effectExtent b="0" l="0" r="0" t="0"/>
                  <wp:docPr descr="" title="" id="45" name="Picture"/>
                  <a:graphic>
                    <a:graphicData uri="http://schemas.openxmlformats.org/drawingml/2006/picture">
                      <pic:pic>
                        <pic:nvPicPr>
                          <pic:cNvPr descr="index_files/figure-docx/notebooks-mak_figures-fig-2-output-1.png" id="46" name="Picture"/>
                          <pic:cNvPicPr>
                            <a:picLocks noChangeArrowheads="1" noChangeAspect="1"/>
                          </pic:cNvPicPr>
                        </pic:nvPicPr>
                        <pic:blipFill>
                          <a:blip r:embed="rId44"/>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47"/>
        </w:tc>
      </w:tr>
    </w:tbl>
    <w:bookmarkEnd w:id="48"/>
    <w:bookmarkStart w:id="53" w:name="feature-importance-1"/>
    <w:p>
      <w:pPr>
        <w:pStyle w:val="Heading2"/>
      </w:pPr>
      <w:r>
        <w:t xml:space="preserve">Feature Importance</w:t>
      </w:r>
    </w:p>
    <w:tbl>
      <w:tblPr>
        <w:tblStyle w:val="Table"/>
        <w:tblW w:type="pct" w:w="5000"/>
        <w:tblLayout w:type="fixed"/>
        <w:tblLook w:firstRow="0" w:lastRow="0" w:firstColumn="0" w:lastColumn="0" w:noHBand="0" w:noVBand="0" w:val="0000"/>
      </w:tblPr>
      <w:tblGrid>
        <w:gridCol w:w="7920"/>
      </w:tblGrid>
      <w:tr>
        <w:tc>
          <w:tcPr/>
          <w:bookmarkStart w:id="52" w:name="fig-4"/>
          <w:p>
            <w:pPr>
              <w:pStyle w:val="Compact"/>
              <w:jc w:val="center"/>
            </w:pPr>
            <w:r>
              <w:drawing>
                <wp:inline>
                  <wp:extent cx="5334000" cy="7467600"/>
                  <wp:effectExtent b="0" l="0" r="0" t="0"/>
                  <wp:docPr descr="" title="" id="50" name="Picture"/>
                  <a:graphic>
                    <a:graphicData uri="http://schemas.openxmlformats.org/drawingml/2006/picture">
                      <pic:pic>
                        <pic:nvPicPr>
                          <pic:cNvPr descr="index_files/figure-docx/notebooks-mak_figures-fig-4-output-1.png" id="51" name="Picture"/>
                          <pic:cNvPicPr>
                            <a:picLocks noChangeArrowheads="1" noChangeAspect="1"/>
                          </pic:cNvPicPr>
                        </pic:nvPicPr>
                        <pic:blipFill>
                          <a:blip r:embed="rId49"/>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partial dependence plots.</w:t>
            </w:r>
          </w:p>
          <w:bookmarkEnd w:id="52"/>
        </w:tc>
      </w:tr>
    </w:tbl>
    <w:bookmarkEnd w:id="53"/>
    <w:bookmarkEnd w:id="54"/>
    <w:bookmarkStart w:id="55" w:name="discussion"/>
    <w:p>
      <w:pPr>
        <w:pStyle w:val="Heading1"/>
      </w:pPr>
      <w:r>
        <w:t xml:space="preserve">Discussion</w:t>
      </w:r>
    </w:p>
    <w:bookmarkEnd w:id="55"/>
    <w:bookmarkStart w:id="66" w:name="references"/>
    <w:p>
      <w:pPr>
        <w:pStyle w:val="Heading1"/>
      </w:pPr>
      <w:r>
        <w:t xml:space="preserve">References</w:t>
      </w:r>
    </w:p>
    <w:bookmarkStart w:id="65" w:name="refs"/>
    <w:bookmarkStart w:id="57"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56">
        <w:r>
          <w:rPr>
            <w:rStyle w:val="Hyperlink"/>
          </w:rPr>
          <w:t xml:space="preserve">https://doi.org/10.21231/GNT1-HW21</w:t>
        </w:r>
      </w:hyperlink>
    </w:p>
    <w:bookmarkEnd w:id="57"/>
    <w:bookmarkStart w:id="59"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58">
        <w:r>
          <w:rPr>
            <w:rStyle w:val="Hyperlink"/>
          </w:rPr>
          <w:t xml:space="preserve">https://doi.org/10.1136/bmj-2023-078378</w:t>
        </w:r>
      </w:hyperlink>
    </w:p>
    <w:bookmarkEnd w:id="59"/>
    <w:bookmarkStart w:id="60"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60"/>
    <w:bookmarkStart w:id="61"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61"/>
    <w:bookmarkStart w:id="62"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62"/>
    <w:bookmarkStart w:id="64"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63">
        <w:r>
          <w:rPr>
            <w:rStyle w:val="Hyperlink"/>
          </w:rPr>
          <w:t xml:space="preserve">https://doi.org/10.1016/j.landig.2025.100916</w:t>
        </w:r>
      </w:hyperlink>
    </w:p>
    <w:bookmarkEnd w:id="64"/>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hyperlink" Id="rId63" Target="https://doi.org/10.1016/j.landig.2025.100916" TargetMode="External" /><Relationship Type="http://schemas.openxmlformats.org/officeDocument/2006/relationships/hyperlink" Id="rId58" Target="https://doi.org/10.1136/bmj-2023-078378" TargetMode="External" /><Relationship Type="http://schemas.openxmlformats.org/officeDocument/2006/relationships/hyperlink" Id="rId56"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63" Target="https://doi.org/10.1016/j.landig.2025.100916" TargetMode="External" /><Relationship Type="http://schemas.openxmlformats.org/officeDocument/2006/relationships/hyperlink" Id="rId58" Target="https://doi.org/10.1136/bmj-2023-078378" TargetMode="External" /><Relationship Type="http://schemas.openxmlformats.org/officeDocument/2006/relationships/hyperlink" Id="rId56" Target="https://doi.org/10.21231/GNT1-HW21"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lapse risk prediction in a national sample of individuals with opioid use disorder using personal sensing and machine learning</dc:title>
  <dc:creator>Kendra Wyant; John J. Curtin</dc:creator>
  <cp:keywords>Substance use disorders, Precision mental health</cp:keywords>
  <dcterms:created xsi:type="dcterms:W3CDTF">2025-12-27T22:05:26Z</dcterms:created>
  <dcterms:modified xsi:type="dcterms:W3CDTF">2025-12-27T22:05:26Z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2025-12-27</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