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2026-02-04</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r>
        <w:t xml:space="preserve">- pain</w:t>
      </w:r>
      <w:r>
        <w:t xml:space="preserve"> </w:t>
      </w:r>
      <w:r>
        <w:t xml:space="preserve">(</w:t>
      </w:r>
      <w:r>
        <w:rPr>
          <w:b/>
          <w:bCs/>
        </w:rPr>
        <w:t xml:space="preserve">pappRealtimeAssociationsYoung2020?</w:t>
      </w:r>
      <w:r>
        <w:t xml:space="preserve">)</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0"/>
    <w:bookmarkStart w:id="41"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r>
        <w:t xml:space="preserve"> </w:t>
      </w:r>
    </w:p>
    <w:bookmarkEnd w:id="23"/>
    <w:bookmarkStart w:id="24"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4"/>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5"/>
      </w:r>
      <w:r>
        <w:t xml:space="preserve">, and $5 per month for sharing geolocation data.</w:t>
      </w:r>
      <w:r>
        <w:rPr>
          <w:rStyle w:val="FootnoteReference"/>
        </w:rPr>
        <w:footnoteReference w:id="26"/>
      </w:r>
      <w:r>
        <w:t xml:space="preserve"> </w:t>
      </w:r>
      <w:r>
        <w:t xml:space="preserve">Participants were also paid $50 per month to offset the cost of maintaining a cellphone data plan.</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0"/>
    <w:bookmarkEnd w:id="31"/>
    <w:bookmarkStart w:id="4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793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over varying feature scoring epochs. Raw features represent the feature value calculated within a given scoring epoch (e.g., the maximum urge rating reported on the daily survey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48 hours).</w:t>
      </w:r>
    </w:p>
    <w:p>
      <w:pPr>
        <w:pStyle w:val="FirstParagraph"/>
      </w:pPr>
      <w:r>
        <w:t xml:space="preserve">We used three feature scoring epochs (48, 72, and 168 hours before the start of the prediction window) to create features from the daily survey. We calculated raw and difference features for min</w:t>
      </w:r>
      <w:r>
        <w:t xml:space="preserve"> </w:t>
      </w:r>
      <w:r>
        <w:t xml:space="preserve">, max, median, and most recent responses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each feature scoring epoch (e.g., counts of opioid lapses within the 48 hours preceding the start of a prediction window divided by 48).</w:t>
      </w:r>
    </w:p>
    <w:p>
      <w:pPr>
        <w:pStyle w:val="BodyText"/>
      </w:pPr>
      <w:r>
        <w:t xml:space="preserve">We used six feature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calculated raw and difference features for sum duration of time spent in transit (i.e., moving faster than 4 miles per hour)</w:t>
      </w:r>
      <w:r>
        <w:t xml:space="preserve"> </w:t>
      </w:r>
      <w:r>
        <w:t xml:space="preserve">, time out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BodyText"/>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4"/>
    <w:bookmarkStart w:id="35" w:name="model-configurations"/>
    <w:p>
      <w:pPr>
        <w:pStyle w:val="Heading3"/>
      </w:pPr>
      <w:r>
        <w:t xml:space="preserve">Model Configurations</w:t>
      </w:r>
    </w:p>
    <w:p>
      <w:pPr>
        <w:pStyle w:val="FirstParagraph"/>
      </w:pPr>
      <w:r>
        <w:t xml:space="preserve">We initially considered five statistical algorithms that differed in terms of assumptions and bias-variance tradeoff: elastic net, random forest, XGBoost, a single-layer neural network, and a support vector machine. Preliminary analyses using simple 6x5 cross-validation suggested that XGBoost was superior (see supplement for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5"/>
    <w:bookmarkStart w:id="38"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four contrasts for model comparisons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6"/>
    <w:bookmarkStart w:id="3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7"/>
    <w:bookmarkEnd w:id="38"/>
    <w:bookmarkStart w:id="3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9"/>
    <w:bookmarkEnd w:id="40"/>
    <w:bookmarkEnd w:id="41"/>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w:t>
      </w:r>
      <w:r>
        <w:t xml:space="preserve"> </w:t>
      </w:r>
      <w:r>
        <w:t xml:space="preserve">451 participants across 47 states in the United States from April 2021 through December 2024. A total of 334 participants were eligible, consented, and remained on study for at least one month</w:t>
      </w:r>
      <w:r>
        <w:t xml:space="preserve"> </w:t>
      </w:r>
      <w:r>
        <w:t xml:space="preserve">. Of these, 7 participants were excluded due to evidence of careless responding on daily surveys, 10 participants were excluded due to unusually low geolocation sensing adherence (fewer than 20 geolocation points per day on average), and 14 participants were excluded due to insufficient context data for geolocation points (fewer than two contextualized locations). Our final analysis sample consisted of 303 participants. All data exclusions are documented in more detail in the supplement.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107</w:t>
                  </w:r>
                </w:p>
              </w:tc>
              <w:tc>
                <w:tcPr/>
                <w:p>
                  <w:pPr>
                    <w:pStyle w:val="Compact"/>
                    <w:jc w:val="right"/>
                    <w:jc w:val="center"/>
                  </w:pPr>
                  <w:r>
                    <w:t xml:space="preserve">35.8</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20.1</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52.8</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44.8</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5.4</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31.4</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22.1</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18.4</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36.8</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56.2</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9.4</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286</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66.9</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193</w:t>
                  </w:r>
                </w:p>
              </w:tc>
              <w:tc>
                <w:tcPr/>
                <w:p>
                  <w:pPr>
                    <w:pStyle w:val="Compact"/>
                    <w:jc w:val="right"/>
                    <w:jc w:val="center"/>
                  </w:pPr>
                  <w:r>
                    <w:t xml:space="preserve">64.5</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35.1</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152</w:t>
                  </w:r>
                </w:p>
              </w:tc>
              <w:tc>
                <w:tcPr/>
                <w:p>
                  <w:pPr>
                    <w:pStyle w:val="Compact"/>
                    <w:jc w:val="right"/>
                    <w:jc w:val="center"/>
                  </w:pPr>
                  <w:r>
                    <w:t xml:space="preserve">50.8</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48.8</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119</w:t>
                  </w:r>
                </w:p>
              </w:tc>
              <w:tc>
                <w:tcPr/>
                <w:p>
                  <w:pPr>
                    <w:pStyle w:val="Compact"/>
                    <w:jc w:val="right"/>
                    <w:jc w:val="center"/>
                  </w:pPr>
                  <w:r>
                    <w:t xml:space="preserve">39.8</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31.8</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34.4</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27.8</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41.5</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23.7</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12.4</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299</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298 days (range 32-395 days). 83% of participants (252/303) remained on study for at least six months. Daily survey adherence was high. On average participants completed 73% of the daily survey prompts (range 24-100%). Participants provided, on average, 312 daily geolocation points (range 20-825).</w:t>
      </w:r>
    </w:p>
    <w:p>
      <w:pPr>
        <w:pStyle w:val="BodyText"/>
      </w:pPr>
      <w:r>
        <w:t xml:space="preserve">Our final feature set consisted of 674 features. The proportion of missing values across features was low (mean=2.72%, range = 0-12.40%). Across participants we generated a total of 89,813 day-level labels. Training sets (N=30) had, on average, 70886 labels (range 69025-73129) from 239 participants (range 239-240)</w:t>
      </w:r>
      <w:r>
        <w:t xml:space="preserve"> </w:t>
      </w:r>
      <w:r>
        <w:t xml:space="preserve">. Thirty-nine percent of participants (119/303) reported an opioid lapse while on study (mean=5.68, range 0-117). This resulted in 1.92% of the labels positive for lapse (1,720/89,813 labels). We stratified the data on a variable of whether someone lapsed on study to ensure our imbalanced outcome was evenly split over folds (mean=.018, range =.016-.020)</w:t>
      </w:r>
    </w:p>
    <w:bookmarkEnd w:id="44"/>
    <w:bookmarkStart w:id="50"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rPr>
          <w:rStyle w:val="FootnoteReference"/>
        </w:rPr>
        <w:footnoteReference w:id="45"/>
      </w:r>
      <w:r>
        <w:t xml:space="preserve"> </w:t>
      </w:r>
      <w:r>
        <w:t xml:space="preserve">The median posterior probability for the best model was 0.93, with narrow 95% CI ([0.92, 0.94]).</w:t>
      </w:r>
      <w:r>
        <w:t xml:space="preserve"> </w:t>
      </w:r>
    </w:p>
    <w:p>
      <w:pPr>
        <w:pStyle w:val="BodyText"/>
      </w:pPr>
      <w:r>
        <w:t xml:space="preserve">We compared our best model’s performance to a baseline model that only used day of week and demographic and OUD characteristic features to evaluate the incremental predictive value of adding the dynamic daily survey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education (probability = 0.55) and strong evidence that performance differed by gender, income, race and ethnicity, and geographic location (probabilities &gt; 0.90).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49"/>
        </w:tc>
      </w:tr>
    </w:tbl>
    <w:bookmarkEnd w:id="50"/>
    <w:bookmarkStart w:id="55" w:name="calibration-and-overall-performance-1"/>
    <w:p>
      <w:pPr>
        <w:pStyle w:val="Heading2"/>
      </w:pPr>
      <w:r>
        <w:t xml:space="preserve">Calibration and Overall Performance</w:t>
      </w:r>
    </w:p>
    <w:p>
      <w:pPr>
        <w:pStyle w:val="FirstParagraph"/>
      </w:pPr>
      <w:r>
        <w:t xml:space="preserve">The full model produced generally well-calibrated raw probabilities (brier score = 0.015). We attempted to improve calibration with Platt scaling and results were comparable (brier score = 0.015). A Calibration plot revealed our raw model predictions tended to systematically over-predict risk probabilities (</w:t>
      </w:r>
      <w:hyperlink w:anchor="fig-2">
        <w:r>
          <w:rPr>
            <w:rStyle w:val="Hyperlink"/>
          </w:rPr>
          <w:t xml:space="preserve">Figure 2</w:t>
        </w:r>
      </w:hyperlink>
      <w:r>
        <w:t xml:space="preserve">). Platt scaling appeared to produce probabilities closer to the ideal line were predicted probabilities perfectly match observed rates.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33375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bookmarkEnd w:id="67"/>
    <w:bookmarkStart w:id="103" w:name="references"/>
    <w:p>
      <w:pPr>
        <w:pStyle w:val="Heading1"/>
      </w:pPr>
      <w:r>
        <w:t xml:space="preserve">References</w:t>
      </w:r>
    </w:p>
    <w:bookmarkStart w:id="102" w:name="refs"/>
    <w:bookmarkStart w:id="6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8"/>
    <w:bookmarkStart w:id="7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9">
        <w:r>
          <w:rPr>
            <w:rStyle w:val="Hyperlink"/>
          </w:rPr>
          <w:t xml:space="preserve">https://doi.org/10.21231/GNT1-HW21</w:t>
        </w:r>
      </w:hyperlink>
    </w:p>
    <w:bookmarkEnd w:id="70"/>
    <w:bookmarkStart w:id="7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1">
        <w:r>
          <w:rPr>
            <w:rStyle w:val="Hyperlink"/>
          </w:rPr>
          <w:t xml:space="preserve">https://doi.org/10.1136/bmj-2023-078378</w:t>
        </w:r>
      </w:hyperlink>
    </w:p>
    <w:bookmarkEnd w:id="72"/>
    <w:bookmarkStart w:id="7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3"/>
    <w:bookmarkStart w:id="7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4"/>
    <w:bookmarkStart w:id="7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5">
        <w:r>
          <w:rPr>
            <w:rStyle w:val="Hyperlink"/>
          </w:rPr>
          <w:t xml:space="preserve">https://doi.org/10.1016/j.drugalcdep.2006.05.012</w:t>
        </w:r>
      </w:hyperlink>
    </w:p>
    <w:bookmarkEnd w:id="76"/>
    <w:bookmarkStart w:id="7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77">
        <w:r>
          <w:rPr>
            <w:rStyle w:val="Hyperlink"/>
          </w:rPr>
          <w:t xml:space="preserve">https://doi.org/10.1001/jamapsychiatry.2013.4642</w:t>
        </w:r>
      </w:hyperlink>
    </w:p>
    <w:bookmarkEnd w:id="78"/>
    <w:bookmarkStart w:id="7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79"/>
    <w:bookmarkStart w:id="8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80">
        <w:r>
          <w:rPr>
            <w:rStyle w:val="Hyperlink"/>
          </w:rPr>
          <w:t xml:space="preserve">https://doi.org/10.1001/jamanetworkopen.2020.5852</w:t>
        </w:r>
      </w:hyperlink>
    </w:p>
    <w:bookmarkEnd w:id="81"/>
    <w:bookmarkStart w:id="8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82"/>
    <w:bookmarkStart w:id="8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3"/>
    <w:bookmarkStart w:id="8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84">
        <w:r>
          <w:rPr>
            <w:rStyle w:val="Hyperlink"/>
          </w:rPr>
          <w:t xml:space="preserve">https://doi.org/10.1111/jrh.70076</w:t>
        </w:r>
      </w:hyperlink>
    </w:p>
    <w:bookmarkEnd w:id="85"/>
    <w:bookmarkStart w:id="8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86"/>
    <w:bookmarkStart w:id="8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87">
        <w:r>
          <w:rPr>
            <w:rStyle w:val="Hyperlink"/>
          </w:rPr>
          <w:t xml:space="preserve">https://doi.org/10.1177/00333549211041554</w:t>
        </w:r>
      </w:hyperlink>
    </w:p>
    <w:bookmarkEnd w:id="88"/>
    <w:bookmarkStart w:id="9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9">
        <w:r>
          <w:rPr>
            <w:rStyle w:val="Hyperlink"/>
          </w:rPr>
          <w:t xml:space="preserve">https://doi.org/10.2196/29563</w:t>
        </w:r>
      </w:hyperlink>
    </w:p>
    <w:bookmarkEnd w:id="90"/>
    <w:bookmarkStart w:id="9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91">
        <w:r>
          <w:rPr>
            <w:rStyle w:val="Hyperlink"/>
          </w:rPr>
          <w:t xml:space="preserve">https://doi.org/10.1016/j.jsat.2021.108710</w:t>
        </w:r>
      </w:hyperlink>
    </w:p>
    <w:bookmarkEnd w:id="92"/>
    <w:bookmarkStart w:id="9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93">
        <w:r>
          <w:rPr>
            <w:rStyle w:val="Hyperlink"/>
          </w:rPr>
          <w:t xml:space="preserve">https://doi.org/10.1016/j.drugalcdep.2019.05.017</w:t>
        </w:r>
      </w:hyperlink>
    </w:p>
    <w:bookmarkEnd w:id="94"/>
    <w:bookmarkStart w:id="9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95"/>
    <w:bookmarkStart w:id="9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96">
        <w:r>
          <w:rPr>
            <w:rStyle w:val="Hyperlink"/>
          </w:rPr>
          <w:t xml:space="preserve">https://doi.org/10.1016/j.landig.2025.100916</w:t>
        </w:r>
      </w:hyperlink>
    </w:p>
    <w:bookmarkEnd w:id="97"/>
    <w:bookmarkStart w:id="9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98">
        <w:r>
          <w:rPr>
            <w:rStyle w:val="Hyperlink"/>
          </w:rPr>
          <w:t xml:space="preserve">https://doi.org/10.1016/j.artmed.2020.101987</w:t>
        </w:r>
      </w:hyperlink>
    </w:p>
    <w:bookmarkEnd w:id="99"/>
    <w:bookmarkStart w:id="10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00">
        <w:r>
          <w:rPr>
            <w:rStyle w:val="Hyperlink"/>
          </w:rPr>
          <w:t xml:space="preserve">https://doi.org/10.1080/17441692.2023.2277854</w:t>
        </w:r>
      </w:hyperlink>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5">
    <w:p>
      <w:pPr>
        <w:pStyle w:val="FootnoteText"/>
      </w:pPr>
      <w:r>
        <w:rPr>
          <w:rStyle w:val="FootnoteReference"/>
        </w:rPr>
        <w:footnoteRef/>
      </w:r>
      <w:r>
        <w:t xml:space="preserve"> </w:t>
      </w:r>
      <w:r>
        <w:t xml:space="preserve">The best model configuration used 1:1 upsampling of the minority class and the following hyperparameter values: learning rate = .01, tree depth = 5,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80" Target="https://doi.org/10.1001/jamanetworkopen.2020.5852" TargetMode="External" /><Relationship Type="http://schemas.openxmlformats.org/officeDocument/2006/relationships/hyperlink" Id="rId77" Target="https://doi.org/10.1001/jamapsychiatry.2013.4642" TargetMode="External" /><Relationship Type="http://schemas.openxmlformats.org/officeDocument/2006/relationships/hyperlink" Id="rId98" Target="https://doi.org/10.1016/j.artmed.2020.101987" TargetMode="External" /><Relationship Type="http://schemas.openxmlformats.org/officeDocument/2006/relationships/hyperlink" Id="rId75"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91" Target="https://doi.org/10.1016/j.jsat.2021.108710" TargetMode="External" /><Relationship Type="http://schemas.openxmlformats.org/officeDocument/2006/relationships/hyperlink" Id="rId96" Target="https://doi.org/10.1016/j.landig.2025.100916" TargetMode="External" /><Relationship Type="http://schemas.openxmlformats.org/officeDocument/2006/relationships/hyperlink" Id="rId100" Target="https://doi.org/10.1080/17441692.2023.2277854" TargetMode="External" /><Relationship Type="http://schemas.openxmlformats.org/officeDocument/2006/relationships/hyperlink" Id="rId84" Target="https://doi.org/10.1111/jrh.70076" TargetMode="External" /><Relationship Type="http://schemas.openxmlformats.org/officeDocument/2006/relationships/hyperlink" Id="rId71" Target="https://doi.org/10.1136/bmj-2023-078378" TargetMode="External" /><Relationship Type="http://schemas.openxmlformats.org/officeDocument/2006/relationships/hyperlink" Id="rId87" Target="https://doi.org/10.1177/00333549211041554" TargetMode="External" /><Relationship Type="http://schemas.openxmlformats.org/officeDocument/2006/relationships/hyperlink" Id="rId69" Target="https://doi.org/10.21231/GNT1-HW21" TargetMode="External" /><Relationship Type="http://schemas.openxmlformats.org/officeDocument/2006/relationships/hyperlink" Id="rId89"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01/jamanetworkopen.2020.5852" TargetMode="External" /><Relationship Type="http://schemas.openxmlformats.org/officeDocument/2006/relationships/hyperlink" Id="rId77" Target="https://doi.org/10.1001/jamapsychiatry.2013.4642" TargetMode="External" /><Relationship Type="http://schemas.openxmlformats.org/officeDocument/2006/relationships/hyperlink" Id="rId98" Target="https://doi.org/10.1016/j.artmed.2020.101987" TargetMode="External" /><Relationship Type="http://schemas.openxmlformats.org/officeDocument/2006/relationships/hyperlink" Id="rId75"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91" Target="https://doi.org/10.1016/j.jsat.2021.108710" TargetMode="External" /><Relationship Type="http://schemas.openxmlformats.org/officeDocument/2006/relationships/hyperlink" Id="rId96" Target="https://doi.org/10.1016/j.landig.2025.100916" TargetMode="External" /><Relationship Type="http://schemas.openxmlformats.org/officeDocument/2006/relationships/hyperlink" Id="rId100" Target="https://doi.org/10.1080/17441692.2023.2277854" TargetMode="External" /><Relationship Type="http://schemas.openxmlformats.org/officeDocument/2006/relationships/hyperlink" Id="rId84" Target="https://doi.org/10.1111/jrh.70076" TargetMode="External" /><Relationship Type="http://schemas.openxmlformats.org/officeDocument/2006/relationships/hyperlink" Id="rId71" Target="https://doi.org/10.1136/bmj-2023-078378" TargetMode="External" /><Relationship Type="http://schemas.openxmlformats.org/officeDocument/2006/relationships/hyperlink" Id="rId87" Target="https://doi.org/10.1177/00333549211041554" TargetMode="External" /><Relationship Type="http://schemas.openxmlformats.org/officeDocument/2006/relationships/hyperlink" Id="rId69" Target="https://doi.org/10.21231/GNT1-HW21" TargetMode="External" /><Relationship Type="http://schemas.openxmlformats.org/officeDocument/2006/relationships/hyperlink" Id="rId89"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2026-02-05T18:50:39Z</dcterms:created>
  <dcterms:modified xsi:type="dcterms:W3CDTF">2026-02-05T18:50:39Z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2026-02-04</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