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2.png" ContentType="image/png"/>
  <Override PartName="/word/media/rId58.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Contextualized opioid lapse risk prediction using daily surveys and geolocation data in a national sample</w:t>
      </w:r>
    </w:p>
    <w:p>
      <w:pPr>
        <w:pStyle w:val="Author"/>
      </w:pPr>
      <w:r>
        <w:t xml:space="preserve">Kendra Wyant</w:t>
      </w:r>
    </w:p>
    <w:p>
      <w:pPr>
        <w:pStyle w:val="Author"/>
      </w:pPr>
      <w:r>
        <w:t xml:space="preserve">John J. Curtin</w:t>
      </w:r>
    </w:p>
    <w:p>
      <w:pPr>
        <w:pStyle w:val="Date"/>
      </w:pPr>
      <w:r>
        <w:t xml:space="preserve">2026-09-16</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Introduction</w:t>
      </w:r>
    </w:p>
    <w:bookmarkStart w:id="10" w:name="opioid-use-disorder-treatment"/>
    <w:p>
      <w:pPr>
        <w:pStyle w:val="Heading2"/>
      </w:pPr>
      <w:r>
        <w:t xml:space="preserve">Opioid Use Disorder Treatment</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 USD</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recovery also requires individuals to effectively navigate daily challenges, such as stress, negative emotions, interpersonal conflict, and exposure to opioid-related cues. Behavioral interventions that teach coping and relapse prevention skills can help individuals identify and respond to these high-risk situations and are an important complement to medication treatment</w:t>
      </w:r>
      <w:r>
        <w:t xml:space="preserve"> </w:t>
      </w:r>
      <w:r>
        <w:t xml:space="preserve">(Marlatt &amp; Donovan, 2007; K. A. Witkiewitz &amp; Marlatt, 2007; K. Witkiewitz &amp; Marlatt, 2004)</w:t>
      </w:r>
      <w:r>
        <w:t xml:space="preserve">. However, despite strong evidence for MOUD and behavioral interventions, the majority of individuals with OUD do not receive treatment</w:t>
      </w:r>
      <w:r>
        <w:t xml:space="preserve"> </w:t>
      </w:r>
      <w:r>
        <w:t xml:space="preserve">(Dowell et al., 2024; Novak et al., 2019)</w:t>
      </w:r>
      <w:r>
        <w:t xml:space="preserve">.</w:t>
      </w:r>
    </w:p>
    <w:p>
      <w:pPr>
        <w:pStyle w:val="BodyText"/>
      </w:pPr>
      <w:r>
        <w:t xml:space="preserve">These low rates of treatment initiation are concerning; however, initiation alone is insufficient to achieve sustained recovery. OUD is considered to be a chronic health condition</w:t>
      </w:r>
      <w:r>
        <w:t xml:space="preserve"> </w:t>
      </w:r>
      <w:r>
        <w:t xml:space="preserve">(Dennis &amp; Scott, 2007; McLellan et al., 2000)</w:t>
      </w:r>
      <w:r>
        <w:t xml:space="preserve"> </w:t>
      </w:r>
      <w:r>
        <w:t xml:space="preserve">and, as such, requires long-term support. Yet among the minority of individuals who do initiate treatment, engagement is often brief and episodic with many individuals terminating treatment early</w:t>
      </w:r>
      <w:r>
        <w:t xml:space="preserve"> </w:t>
      </w:r>
      <w:r>
        <w:t xml:space="preserve">(Gryczynski et al., 2014)</w:t>
      </w:r>
      <w:r>
        <w:t xml:space="preserve">. Lapses back to substance use and relapse (i.e., a full return to problematic use) are common, particularly in the absence of continued treatment engagement and recovery support. Importantly, relapse rates for OUD are comparable to symptom recurrence rates in other chronic conditions (e.g., type I diabetes, hypertension, asthma) when medication adherence and follow-up care are inconsistent. Thus, the recurrence of symptoms is not unique to OUD but instead reflects the challenges of managing any chronic condition without adequate continuing care.</w:t>
      </w:r>
    </w:p>
    <w:p>
      <w:pPr>
        <w:pStyle w:val="BodyText"/>
      </w:pPr>
      <w:r>
        <w:t xml:space="preserve">As in other healthcare domains, disparities in both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living alone without support)</w:t>
      </w:r>
      <w:r>
        <w:t xml:space="preserve"> </w:t>
      </w:r>
      <w:r>
        <w:t xml:space="preserve">(Greenfield et al., 2007; Kilaru et al., 2020; Lister et al., 2020; McHugh et al., 2018; Parlier-Ahmad et al., 2021; Sigmon, 2014; Wood et al., 2019)</w:t>
      </w:r>
      <w:r>
        <w:t xml:space="preserve">. Minoritized groups, such as racial, ethnic, and sexual and gender minorities may experience additional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bookmarkEnd w:id="10"/>
    <w:bookmarkStart w:id="11" w:name="the-complexity-of-lapses"/>
    <w:p>
      <w:pPr>
        <w:pStyle w:val="Heading2"/>
      </w:pPr>
      <w:r>
        <w:t xml:space="preserve">The Complexity of Lapses</w:t>
      </w:r>
    </w:p>
    <w:p>
      <w:pPr>
        <w:pStyle w:val="FirstParagraph"/>
      </w:pPr>
      <w:r>
        <w:t xml:space="preserve">While lapses are considered a natural part of recovery from substance use disorders, opioid lapses are particularly high-risk events. Reduced opioid tolerance (e.g., following a period of abstinence) and the increasing prevalence of fentanyl and other synthetic opioids in the drug supply substantially increase the likelihood of fatal overdose</w:t>
      </w:r>
      <w:r>
        <w:t xml:space="preserve"> </w:t>
      </w:r>
      <w:r>
        <w:t xml:space="preserve">(Skolnick et al., 2024; Strang et al., 2003)</w:t>
      </w:r>
      <w:r>
        <w:t xml:space="preserve">. Identifying vulnerable periods of high lapse risk and contextualizing that risk (i.e.,</w:t>
      </w:r>
      <w:r>
        <w:t xml:space="preserve"> </w:t>
      </w:r>
      <w:r>
        <w:rPr>
          <w:i/>
          <w:iCs/>
        </w:rPr>
        <w:t xml:space="preserve">why</w:t>
      </w:r>
      <w:r>
        <w:t xml:space="preserve"> </w:t>
      </w:r>
      <w:r>
        <w:t xml:space="preserve">risk is high) could enable individuals to take targeted, proactive action to prevent lapse (e.g., using behavioral interventions learned in treatment for a specific risk context).</w:t>
      </w:r>
    </w:p>
    <w:p>
      <w:pPr>
        <w:pStyle w:val="BodyText"/>
      </w:pPr>
      <w:r>
        <w:t xml:space="preserve">However, lapse risk is highly heterogeneous. Risk factors differ across individuals and within individuals over time.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interact with one another and with interpersonal and environmental contexts to influence lapse risk</w:t>
      </w:r>
      <w:r>
        <w:t xml:space="preserve"> </w:t>
      </w:r>
      <w:r>
        <w:t xml:space="preserve">(Stanton, 2005; K. Witkiewitz &amp; Marlatt, 2004)</w:t>
      </w:r>
      <w:r>
        <w:t xml:space="preserve">. For example, cravings are typically short-lived urges that can be successfully managed in recovery-supportive environments (e.g., when supportive people are available or opioids are not readily accessible). However, when cravings occur in environments where opioids are easily available, the likelihood of lapse may increase. Given the complex, interactive, and dynamic nature of lapse risk, identifying the most salient risk factors at any given moment can be difficult.</w:t>
      </w:r>
    </w:p>
    <w:bookmarkEnd w:id="11"/>
    <w:bookmarkStart w:id="12" w:name="X250acaf39170a7d22d8b7b242060f893783efb3"/>
    <w:p>
      <w:pPr>
        <w:pStyle w:val="Heading2"/>
      </w:pPr>
      <w:r>
        <w:t xml:space="preserve">Using Technology to Support Lapse Prevention</w:t>
      </w:r>
    </w:p>
    <w:p>
      <w:pPr>
        <w:pStyle w:val="FirstParagraph"/>
      </w:pPr>
      <w:r>
        <w:t xml:space="preserve">An algorithm‑guided recovery monitoring and support system could help address this challenge by automating the delivery of risk-relevant feedback (e.g., communicating current lapse risk and the factors contributing to that risk).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a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present as a promising sensing method for predicting lapse risk.</w:t>
      </w:r>
    </w:p>
    <w:p>
      <w:pPr>
        <w:pStyle w:val="BodyText"/>
      </w:pPr>
      <w:r>
        <w:t xml:space="preserve">Importantly, a monitoring system that performs fairly (i.e., the accuracy of the predictions and clinical benefit of the system is similar for everyone;</w:t>
      </w:r>
      <w:r>
        <w:t xml:space="preserve"> </w:t>
      </w:r>
      <w:r>
        <w:t xml:space="preserve">Rajkomar et al. (2018)</w:t>
      </w:r>
      <w:r>
        <w:t xml:space="preserv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bookmarkEnd w:id="12"/>
    <w:bookmarkStart w:id="13" w:name="the-current-study"/>
    <w:p>
      <w:pPr>
        <w:pStyle w:val="Heading2"/>
      </w:pPr>
      <w:r>
        <w:t xml:space="preserve">The Current Study</w:t>
      </w:r>
    </w:p>
    <w:p>
      <w:pPr>
        <w:pStyle w:val="FirstParagraph"/>
      </w:pPr>
      <w:r>
        <w:t xml:space="preserve">In the current study, we developed a machine learning model that predicts next-day opioid lapse risk using daily self-report and geolocation sensing data. We recruited a national sample of participants across the United States with varying diversity in regard to race and ethnicity, income, gender, sexual orientation, and geographic location. To ensure that the study sample closely reflected the intended clinical population for our model, we recruited participants who were in early recovery from OUD and receiving MOUD. Participants provided sensing data and opioid lapse reports for up to one year, a duration that exceeds previously published substance use prediction studies. This enabled us to evaluate how our model performed as individuals progressed through different stages of recovery. We explicitly evaluated model performance across demographic subgroups to assess algorithmic fairness and we identified the most important predictors using two complementary descriptive approaches, providing insight into important clinical targets for opioid lapse prevention.</w:t>
      </w:r>
    </w:p>
    <w:bookmarkEnd w:id="13"/>
    <w:bookmarkEnd w:id="14"/>
    <w:bookmarkStart w:id="36" w:name="methods"/>
    <w:p>
      <w:pPr>
        <w:pStyle w:val="Heading1"/>
      </w:pPr>
      <w:r>
        <w:t xml:space="preserve">Methods</w:t>
      </w:r>
    </w:p>
    <w:bookmarkStart w:id="17"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5">
        <w:r>
          <w:rPr>
            <w:rStyle w:val="Hyperlink"/>
          </w:rPr>
          <w:t xml:space="preserve">https://osf.io/zvm7s/overview</w:t>
        </w:r>
      </w:hyperlink>
      <w:r>
        <w:t xml:space="preserve">) and our annotated analysis scripts and results are publicly available on our study website (</w:t>
      </w:r>
      <w:hyperlink r:id="rId16">
        <w:r>
          <w:rPr>
            <w:rStyle w:val="Hyperlink"/>
          </w:rPr>
          <w:t xml:space="preserve">https://jjcurtin.github.io/study_risk2/</w:t>
        </w:r>
      </w:hyperlink>
      <w:r>
        <w:t xml:space="preserve">).</w:t>
      </w:r>
      <w:r>
        <w:t xml:space="preserve"> </w:t>
      </w:r>
    </w:p>
    <w:bookmarkEnd w:id="17"/>
    <w:bookmarkStart w:id="18"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8"/>
    <w:bookmarkStart w:id="21"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Participants were shown how to download the Smart Technology for Addiction Recovery (STAR) study app, provided a set of video tutorials to learn how to use the app, and instructed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9"/>
      </w:r>
      <w:r>
        <w:t xml:space="preserve">, and $5 per month for sharing geolocation data.</w:t>
      </w:r>
      <w:r>
        <w:rPr>
          <w:rStyle w:val="FootnoteReference"/>
        </w:rPr>
        <w:footnoteReference w:id="20"/>
      </w:r>
      <w:r>
        <w:t xml:space="preserve"> </w:t>
      </w:r>
      <w:r>
        <w:t xml:space="preserve">Participants were also paid $50 per month to offset the cost of maintaining a cellphone data plan.</w:t>
      </w:r>
    </w:p>
    <w:bookmarkEnd w:id="21"/>
    <w:bookmarkStart w:id="25" w:name="measures"/>
    <w:p>
      <w:pPr>
        <w:pStyle w:val="Heading2"/>
      </w:pPr>
      <w:r>
        <w:t xml:space="preserve">Measures</w:t>
      </w:r>
    </w:p>
    <w:bookmarkStart w:id="22"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Additional trait and state measures were collected as part of the aims of the parent grant.</w:t>
      </w:r>
      <w:r>
        <w:t xml:space="preserve"> </w:t>
      </w:r>
      <w:r>
        <w:t xml:space="preserve"> </w:t>
      </w:r>
      <w:r>
        <w:t xml:space="preserve">A complete list of all measures can be found in our registered report</w:t>
      </w:r>
      <w:r>
        <w:t xml:space="preserve"> </w:t>
      </w:r>
      <w:r>
        <w:t xml:space="preserve">(Moshontz et al., 2021)</w:t>
      </w:r>
      <w:r>
        <w:t xml:space="preserve">.</w:t>
      </w:r>
    </w:p>
    <w:bookmarkEnd w:id="22"/>
    <w:bookmarkStart w:id="23"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remained available for 24 hours.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Participants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3"/>
    <w:bookmarkStart w:id="24"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available in the supplement.</w:t>
      </w:r>
      <w:r>
        <w:t xml:space="preserve"> </w:t>
      </w:r>
    </w:p>
    <w:bookmarkEnd w:id="24"/>
    <w:bookmarkEnd w:id="25"/>
    <w:bookmarkStart w:id="3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r>
        <w:t xml:space="preserve"> </w:t>
      </w:r>
    </w:p>
    <w:bookmarkStart w:id="2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encoded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encoded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6"/>
    <w:bookmarkStart w:id="27"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7"/>
    <w:bookmarkStart w:id="28"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8"/>
    <w:bookmarkStart w:id="29"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Table S1 in the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9"/>
    <w:bookmarkStart w:id="33"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31"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30"/>
      </w:r>
      <w:r>
        <w:t xml:space="preserve"> </w:t>
      </w:r>
      <w:r>
        <w:t xml:space="preserve">We conducted Bayesian group comparisons to assess the likelihood that each model performs differently by group.</w:t>
      </w:r>
    </w:p>
    <w:bookmarkEnd w:id="31"/>
    <w:bookmarkStart w:id="32"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w:t>
      </w:r>
      <w:r>
        <w:t xml:space="preserve"> </w:t>
      </w:r>
      <w:r>
        <w:t xml:space="preserve">(Dormann, 2020)</w:t>
      </w:r>
      <w:r>
        <w:t xml:space="preserve">.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 histograms of raw and calibrated risk probability distributions by true lapse outcome.</w:t>
      </w:r>
    </w:p>
    <w:bookmarkEnd w:id="32"/>
    <w:bookmarkEnd w:id="33"/>
    <w:bookmarkStart w:id="34"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individual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4"/>
    <w:bookmarkEnd w:id="35"/>
    <w:bookmarkEnd w:id="36"/>
    <w:bookmarkStart w:id="69" w:name="results"/>
    <w:p>
      <w:pPr>
        <w:pStyle w:val="Heading1"/>
      </w:pPr>
      <w:r>
        <w:t xml:space="preserve">Results</w:t>
      </w:r>
    </w:p>
    <w:bookmarkStart w:id="41"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7"/>
      </w:r>
      <w:r>
        <w:t xml:space="preserve"> </w:t>
      </w:r>
      <w:r>
        <w:t xml:space="preserve">Of these 330, 14 were excluded for not providing at least 28 days of EMA data with acceptable adherence</w:t>
      </w:r>
      <w:r>
        <w:rPr>
          <w:rStyle w:val="FootnoteReference"/>
        </w:rPr>
        <w:footnoteReference w:id="38"/>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bookmarkEnd w:id="41"/>
    <w:bookmarkStart w:id="42"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Data were stratified across whether someone lapsed on study to ensure our imbalanced outcome was evenly split (and roughly equivalent to the sample prevalance) across cross-validation folds.</w:t>
      </w:r>
    </w:p>
    <w:bookmarkEnd w:id="42"/>
    <w:bookmarkStart w:id="50" w:name="auroc-and-model-comparisons-1"/>
    <w:p>
      <w:pPr>
        <w:pStyle w:val="Heading2"/>
      </w:pPr>
      <w:r>
        <w:t xml:space="preserve">auROC and Model Comparisons</w:t>
      </w:r>
    </w:p>
    <w:p>
      <w:pPr>
        <w:pStyle w:val="FirstParagraph"/>
      </w:pPr>
      <w:r>
        <w:t xml:space="preserve">The median posterior probability for the best full model was 0.94, with narrow 95% CI ([0.93, 0.95]). Model performance appeared relatively consistent irrespective to a participant’s time in recovery (1-18+ months; a plot of auROC by month in recovery is available in Figure S1 in the supplement).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0.96).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0.92 - 0.95 (</w:t>
      </w:r>
      <w:hyperlink w:anchor="fig-1">
        <w:r>
          <w:rPr>
            <w:rStyle w:val="Hyperlink"/>
          </w:rPr>
          <w:t xml:space="preserve">Figure 1</w:t>
        </w:r>
      </w:hyperlink>
      <w:r>
        <w:t xml:space="preserve">). A table of fairness subgroup comparisons is available in Table S2 in the supplement.</w:t>
      </w:r>
    </w:p>
    <w:tbl>
      <w:tblPr>
        <w:tblStyle w:val="Table"/>
        <w:tblW w:type="pct" w:w="5000"/>
        <w:tblLayout w:type="fixed"/>
        <w:tblLook w:firstRow="0" w:lastRow="0" w:firstColumn="0" w:lastColumn="0" w:noHBand="0" w:noVBand="0" w:val="0000"/>
      </w:tblPr>
      <w:tblGrid>
        <w:gridCol w:w="7920"/>
      </w:tblGrid>
      <w:tr>
        <w:tc>
          <w:tcPr/>
          <w:bookmarkStart w:id="48" w:name="fig-1"/>
          <w:p>
            <w:pPr>
              <w:pStyle w:val="Compact"/>
              <w:jc w:val="center"/>
            </w:pPr>
            <w:r>
              <w:drawing>
                <wp:inline>
                  <wp:extent cx="5334000" cy="3810000"/>
                  <wp:effectExtent b="0" l="0" r="0" t="0"/>
                  <wp:docPr descr="" title="" id="46" name="Picture"/>
                  <a:graphic>
                    <a:graphicData uri="http://schemas.openxmlformats.org/drawingml/2006/picture">
                      <pic:pic>
                        <pic:nvPicPr>
                          <pic:cNvPr descr="index_files/figure-docx/notebooks-mak_figures-fig-1-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w:t>
        </w:r>
      </w:hyperlink>
    </w:p>
    <w:bookmarkEnd w:id="50"/>
    <w:bookmarkStart w:id="57"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1"/>
      </w:r>
      <w:r>
        <w:t xml:space="preserve"> </w:t>
      </w:r>
      <w:r>
        <w:t xml:space="preserve">This model produced well-calibrated raw probabilities (brier score = 0.014;</w:t>
      </w:r>
      <w:r>
        <w:t xml:space="preserve"> </w:t>
      </w:r>
      <w:hyperlink w:anchor="fig-2">
        <w:r>
          <w:rPr>
            <w:rStyle w:val="Hyperlink"/>
          </w:rPr>
          <w:t xml:space="preserve">Figure 2</w:t>
        </w:r>
      </w:hyperlink>
      <w:r>
        <w:t xml:space="preserve">). Platt scaling did not offer any improvement in calibration beyond raw scores (brier score = 0.014). Histograms of raw and calibrated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2"/>
          <w:p>
            <w:pPr>
              <w:pStyle w:val="Compact"/>
              <w:jc w:val="center"/>
            </w:pPr>
            <w:r>
              <w:drawing>
                <wp:inline>
                  <wp:extent cx="5334000" cy="6096000"/>
                  <wp:effectExtent b="0" l="0" r="0" t="0"/>
                  <wp:docPr descr="" title="" id="53" name="Picture"/>
                  <a:graphic>
                    <a:graphicData uri="http://schemas.openxmlformats.org/drawingml/2006/picture">
                      <pic:pic>
                        <pic:nvPicPr>
                          <pic:cNvPr descr="index_files/figure-docx/notebooks-mak_figures-fig-2-output-1.png" id="54" name="Picture"/>
                          <pic:cNvPicPr>
                            <a:picLocks noChangeArrowheads="1" noChangeAspect="1"/>
                          </pic:cNvPicPr>
                        </pic:nvPicPr>
                        <pic:blipFill>
                          <a:blip r:embed="rId52"/>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Figures</w:t>
        </w:r>
      </w:hyperlink>
    </w:p>
    <w:bookmarkEnd w:id="57"/>
    <w:bookmarkStart w:id="68" w:name="feature-importance-1"/>
    <w:p>
      <w:pPr>
        <w:pStyle w:val="Heading2"/>
      </w:pPr>
      <w:r>
        <w:t xml:space="preserve">Feature Importance</w:t>
      </w:r>
    </w:p>
    <w:p>
      <w:pPr>
        <w:pStyle w:val="FirstParagraph"/>
      </w:pPr>
      <w:r>
        <w:t xml:space="preserve">Individual Shapley values were aggregated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All possible feature categories are provided in Figure S2 in the supplement.</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time spent in unpleasant locations,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1" w:name="fig-3"/>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3-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plots. The plots display magnitude of feature importance for the top 20 features, determined by the mean absolute Shapley value (left). Feature importance on the right depicts importance by the proportion of days (or observations) that each feature was most important (highest absolute Shapley value).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p>
      <w:pPr>
        <w:pStyle w:val="BodyText"/>
      </w:pPr>
      <w:r>
        <w:t xml:space="preserve">To understand how each feature category influenced lapse risk predictions, we plotted Shapley-value–based partial dependence plots for the top 20 feature categories (</w:t>
      </w:r>
      <w:hyperlink w:anchor="fig-4">
        <w:r>
          <w:rPr>
            <w:rStyle w:val="Hyperlink"/>
          </w:rPr>
          <w:t xml:space="preserve">Figure 4</w:t>
        </w:r>
      </w:hyperlink>
      <w:r>
        <w:t xml:space="preserve">; plots for all feature categories are provided in Figure S3 in the supplement). In these plots, positive Shapley values indicate that a feature category increased the predicted probability of lapse (i.e., higher lapse risk), whereas negative Shapley values indicate that the feature category decreased the predicted probability (i.e., lower lapse risk). For raw features, lower values represent lower levels of the corresponding feature (e.g., lower urge intensity, lower abstinence confidence, higher abstinent motivation, and less time spent in helpful or harmful locations), while higher values represent higher levels (e.g., higher urge intensity, higher abstinence confidence, lower abstinent motivation, and greater time spent in helpful or harmful locations). For difference features, values are interpreted relative to the individual’s baseline. Negative values indicate that the score is below the individual’s typical level (e.g., less substance use, less time in helpful, harmful, pleasant, or unpleasant locations, less time at places where religious activities are performed, less location variance, fewer reported risky situations, and lower urges, anger, or abstinence confidence). A value of zero indicates no deviation from baseline. Positive values indicate that the score is above the individual’s typical level (e.g., more substance use, more time in helpful, harmful, pleasant, or unpleasant locations, more time at places where religious activities are performed, more location variance, more reported risky situations, and higher urges, anger, or abstinence confidence). For demographic features, values correspond to ordered categories. Lower values indicate younger age and more urban geography, whereas higher values indicate older age and more rural geography.</w:t>
      </w:r>
    </w:p>
    <w:p>
      <w:pPr>
        <w:pStyle w:val="BodyText"/>
      </w:pPr>
      <w:r>
        <w:t xml:space="preserve">Differences in past opioid use showed lowered lapse risk probability for participants with no change from baseline (i.e., a feature score of 0). This value can only be achieved by having no lapses (i.e., 0 lapses in the feature scoring epoch - 0 lapses on average over all time on study). In contrast, positive differences in use (i.e., increased use over the past 24 and 168 hour feature scoring epochs compared to baseline use) notably increased lapse risk. Participants with negative differences in use (i.e., reduced use over the past 24 and 168 hour feature scoring epochs compared to baseline use) had lower risk than those with increased use. However, their risk remained elevated relative to individuals whose use did not deviate from baseline.</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Differences in stimulant use showed highest lapse risk probability when there were negative differences in use (i.e., decreased recent stimulant use compared to baseline). While, there was only a modest increase in lapse risk when positive differences in stimulant use were observed, compared to individuals who did not use any stimulants while on study, the raw stimulant use feature category showed a clear linear relationship of stimulant use with lapse risk (see Figure S3 in the Supplement).</w:t>
      </w:r>
    </w:p>
    <w:tbl>
      <w:tblPr>
        <w:tblStyle w:val="Table"/>
        <w:tblW w:type="pct" w:w="5000"/>
        <w:tblLayout w:type="fixed"/>
        <w:tblLook w:firstRow="0" w:lastRow="0" w:firstColumn="0" w:lastColumn="0" w:noHBand="0" w:noVBand="0" w:val="0000"/>
      </w:tblPr>
      <w:tblGrid>
        <w:gridCol w:w="7920"/>
      </w:tblGrid>
      <w:tr>
        <w:tc>
          <w:tcPr/>
          <w:bookmarkStart w:id="66" w:name="fig-4"/>
          <w:p>
            <w:pPr>
              <w:pStyle w:val="Compact"/>
              <w:jc w:val="center"/>
            </w:pPr>
            <w:r>
              <w:drawing>
                <wp:inline>
                  <wp:extent cx="5334000" cy="7467600"/>
                  <wp:effectExtent b="0" l="0" r="0" t="0"/>
                  <wp:docPr descr="" title="" id="64" name="Picture"/>
                  <a:graphic>
                    <a:graphicData uri="http://schemas.openxmlformats.org/drawingml/2006/picture">
                      <pic:pic>
                        <pic:nvPicPr>
                          <pic:cNvPr descr="index_files/figure-docx/notebooks-mak_figures-fig-4-output-1.png" id="65" name="Picture"/>
                          <pic:cNvPicPr>
                            <a:picLocks noChangeArrowheads="1" noChangeAspect="1"/>
                          </pic:cNvPicPr>
                        </pic:nvPicPr>
                        <pic:blipFill>
                          <a:blip r:embed="rId63"/>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Make Figures</w:t>
        </w:r>
      </w:hyperlink>
    </w:p>
    <w:bookmarkEnd w:id="68"/>
    <w:bookmarkEnd w:id="69"/>
    <w:bookmarkStart w:id="75" w:name="discussion"/>
    <w:p>
      <w:pPr>
        <w:pStyle w:val="Heading1"/>
      </w:pPr>
      <w:r>
        <w:t xml:space="preserve">Discussion</w:t>
      </w:r>
    </w:p>
    <w:bookmarkStart w:id="70"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Our full model performed comparably for predicting lapses in the first month of recovery up to 18+ months in recovery. This suggests that our model includes a set of features that accurately represents relationships between risk factors and lapse among individuals in early and later recovery. Of course, in the context of chronic disease management, even 18 months may not be a long enough trajectory to conclude whether our model generalizes to individuals in later stages of sustained recovery.</w:t>
      </w:r>
    </w:p>
    <w:p>
      <w:pPr>
        <w:pStyle w:val="BodyText"/>
      </w:pPr>
      <w:r>
        <w:t xml:space="preserve">Fairness discrepancies in the full model’s performance were minimal. In all subgroups, our model had a median auROC above 0.90, which is generally considered to be a benchmark of outstanding performance</w:t>
      </w:r>
      <w:r>
        <w:t xml:space="preserve"> </w:t>
      </w:r>
      <w:r>
        <w:t xml:space="preserve">(Mandrekar, 2010)</w:t>
      </w:r>
      <w:r>
        <w:t xml:space="preserv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70"/>
    <w:bookmarkStart w:id="71"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w:t>
      </w:r>
    </w:p>
    <w:p>
      <w:pPr>
        <w:pStyle w:val="BodyText"/>
      </w:pPr>
      <w:r>
        <w:t xml:space="preserve">It is possible that the relatively low predictive value of geolocation sensing in this study was due to methodological limitations. 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71"/>
    <w:bookmarkStart w:id="72"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time spent in unpleasant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(Marlatt &amp; Donovan, 2007; K. A. Witkiewitz &amp; Marlatt, 2007; K. Witkiewitz &amp; Marlatt, 2004)</w:t>
      </w:r>
      <w:r>
        <w:t xml:space="preserve">. More frequent opioid use, high intensity urges, low abstinence confidence, and less time spent in helpful locations all increased lapse risk. However, our use of raw and difference features allowed us to discover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the use of one substance may trigger cognitive and physiological processes resembling those linked to opioid use, reactivating a negative reinforcement cycle of using opioids for relief from distressing states.</w:t>
      </w:r>
    </w:p>
    <w:p>
      <w:pPr>
        <w:pStyle w:val="BodyText"/>
      </w:pPr>
      <w:r>
        <w:t xml:space="preserve">We observed a similar pattern with urge ratings. Higher urges clearly increased lapse risk; however, recent decreases in urges were also associated with increased lapse risk. At first, this finding appeared contradictory. However, individuals with extremely negative urge difference values must, on average, often experience high-intensity urges in order to produce a change of this magnitude (e.g., a downward two-point shift on a five-point scale). Thus, it is possible that when these individuals suddenly experience a reduction in urge intensity, they may develop a false sense of security, leading to a lowered guard, overconfidence, or increased exposure to triggers.</w:t>
      </w:r>
    </w:p>
    <w:p>
      <w:pPr>
        <w:pStyle w:val="BodyText"/>
      </w:pPr>
      <w:r>
        <w:t xml:space="preserve">Unexpectedly,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relationship to religion and these locations may not generalize more broadly. Nevertheless, this feature did emerge as the 7th most important feature category, making it a worthwhile area to explore in future studies.</w:t>
      </w:r>
    </w:p>
    <w:bookmarkEnd w:id="72"/>
    <w:bookmarkStart w:id="73"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In fact, it would not be surprising if compensation did play at least a minor role in these findings, given the support for contingency management in promoting both treatment adherence and abstinence</w:t>
      </w:r>
      <w:r>
        <w:t xml:space="preserve"> </w:t>
      </w:r>
      <w:r>
        <w:t xml:space="preserve">(Bolívar et al., 2021)</w:t>
      </w:r>
      <w:r>
        <w:t xml:space="preserve">. However, participants received no additional direct benefit beyond financial compensation. In real-world implementations, individuals may be more motivated to share data if doing so enables personalized recovery support as providing ongoing compensation, regardless of proven benefits seen in clinical practice, would likely be prohibitive at-scale.</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3"/>
    <w:bookmarkStart w:id="74"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a diverse array of important risk factors for lapse. Daily recovery recommendations can be mapped onto these factors to deliver support that is personalized to both the person and the moment. Our machine learning model, trained on a national clinical sample of individuals with OUD, is a promising step toward future real-world implementation and evaluation.</w:t>
      </w:r>
    </w:p>
    <w:bookmarkEnd w:id="74"/>
    <w:bookmarkEnd w:id="75"/>
    <w:bookmarkStart w:id="185" w:name="references"/>
    <w:p>
      <w:pPr>
        <w:pStyle w:val="Heading1"/>
      </w:pPr>
      <w:r>
        <w:t xml:space="preserve">References</w:t>
      </w:r>
    </w:p>
    <w:bookmarkStart w:id="184" w:name="refs"/>
    <w:bookmarkStart w:id="76"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6"/>
    <w:bookmarkStart w:id="78" w:name="Xa2783e01b74cc82fbd64a60d68d8867046112c3"/>
    <w:p>
      <w:pPr>
        <w:pStyle w:val="Bibliography"/>
      </w:pPr>
      <w:r>
        <w:t xml:space="preserve">Bolívar, H. A., Klemperer, E. M., Coleman, S. R. M., DeSarno, M., Skelly, J. M., &amp; Higgins, S. T. (2021). Contingency</w:t>
      </w:r>
      <w:r>
        <w:t xml:space="preserve"> </w:t>
      </w:r>
      <w:r>
        <w:t xml:space="preserve">Management</w:t>
      </w:r>
      <w:r>
        <w:t xml:space="preserve"> </w:t>
      </w:r>
      <w:r>
        <w:t xml:space="preserve">for</w:t>
      </w:r>
      <w:r>
        <w:t xml:space="preserve"> </w:t>
      </w:r>
      <w:r>
        <w:t xml:space="preserve">Patients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 </w:t>
      </w:r>
      <w:r>
        <w:t xml:space="preserve">and</w:t>
      </w:r>
      <w:r>
        <w:t xml:space="preserve"> </w:t>
      </w:r>
      <w:r>
        <w:t xml:space="preserve">Meta-analysis</w:t>
      </w:r>
      <w:r>
        <w:t xml:space="preserve">.</w:t>
      </w:r>
      <w:r>
        <w:t xml:space="preserve"> </w:t>
      </w:r>
      <w:r>
        <w:rPr>
          <w:i/>
          <w:iCs/>
        </w:rPr>
        <w:t xml:space="preserve">JAMA Psychiatry</w:t>
      </w:r>
      <w:r>
        <w:t xml:space="preserve">,</w:t>
      </w:r>
      <w:r>
        <w:t xml:space="preserve"> </w:t>
      </w:r>
      <w:r>
        <w:rPr>
          <w:i/>
          <w:iCs/>
        </w:rPr>
        <w:t xml:space="preserve">78</w:t>
      </w:r>
      <w:r>
        <w:t xml:space="preserve">(10), 1092–1102.</w:t>
      </w:r>
      <w:r>
        <w:t xml:space="preserve"> </w:t>
      </w:r>
      <w:hyperlink r:id="rId77">
        <w:r>
          <w:rPr>
            <w:rStyle w:val="Hyperlink"/>
          </w:rPr>
          <w:t xml:space="preserve">https://doi.org/10.1001/jamapsychiatry.2021.1969</w:t>
        </w:r>
      </w:hyperlink>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81">
        <w:r>
          <w:rPr>
            <w:rStyle w:val="Hyperlink"/>
          </w:rPr>
          <w:t xml:space="preserve">https://doi.org/10.1016/j.drugalcdep.2014.10.004</w:t>
        </w:r>
      </w:hyperlink>
    </w:p>
    <w:bookmarkEnd w:id="82"/>
    <w:bookmarkStart w:id="84"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3">
        <w:r>
          <w:rPr>
            <w:rStyle w:val="Hyperlink"/>
          </w:rPr>
          <w:t xml:space="preserve">https://doi.org/10.1136/bmj-2023-078378</w:t>
        </w:r>
      </w:hyperlink>
    </w:p>
    <w:bookmarkEnd w:id="84"/>
    <w:bookmarkStart w:id="86" w:name="ref-dennisManagingAddictionChronic2007"/>
    <w:p>
      <w:pPr>
        <w:pStyle w:val="Bibliography"/>
      </w:pPr>
      <w:r>
        <w:t xml:space="preserve">Dennis, M., &amp; Scott, C. K. (2007).</w:t>
      </w:r>
      <w:r>
        <w:t xml:space="preserve"> </w:t>
      </w:r>
      <w:hyperlink r:id="rId85">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86"/>
    <w:bookmarkStart w:id="88" w:name="Xd9666037eeab86394cda3df1ab243232c191db9"/>
    <w:p>
      <w:pPr>
        <w:pStyle w:val="Bibliography"/>
      </w:pPr>
      <w:r>
        <w:t xml:space="preserve">Dormann, C. (2020). Calibration of probability predictions from machine-learning and statistical models.</w:t>
      </w:r>
      <w:r>
        <w:t xml:space="preserve"> </w:t>
      </w:r>
      <w:r>
        <w:rPr>
          <w:i/>
          <w:iCs/>
        </w:rPr>
        <w:t xml:space="preserve">Global Ecology and Biogeography</w:t>
      </w:r>
      <w:r>
        <w:t xml:space="preserve">,</w:t>
      </w:r>
      <w:r>
        <w:t xml:space="preserve"> </w:t>
      </w:r>
      <w:r>
        <w:rPr>
          <w:i/>
          <w:iCs/>
        </w:rPr>
        <w:t xml:space="preserve">29</w:t>
      </w:r>
      <w:r>
        <w:t xml:space="preserve">, 760–765.</w:t>
      </w:r>
      <w:r>
        <w:t xml:space="preserve"> </w:t>
      </w:r>
      <w:hyperlink r:id="rId87">
        <w:r>
          <w:rPr>
            <w:rStyle w:val="Hyperlink"/>
          </w:rPr>
          <w:t xml:space="preserve">https://doi.org/10.1111/geb.13070</w:t>
        </w:r>
      </w:hyperlink>
    </w:p>
    <w:bookmarkEnd w:id="88"/>
    <w:bookmarkStart w:id="90" w:name="ref-dowellTreatmentOpioidUse2024"/>
    <w:p>
      <w:pPr>
        <w:pStyle w:val="Bibliography"/>
      </w:pPr>
      <w:r>
        <w:t xml:space="preserve">Dowell, D., Brown, S., Gyawali, S., Hoenig, J., Ko, J., Mikosz, C., Ussery, E., Baldwin, G., Jones, C. M., Olsen, Y., Tomoyasu, N., Han, B., Compton, W. M., &amp; Volkow, N. D. (2024). Treatment for</w:t>
      </w:r>
      <w:r>
        <w:t xml:space="preserve"> </w:t>
      </w:r>
      <w:r>
        <w:t xml:space="preserve">Opioid Use Disorder</w:t>
      </w:r>
      <w:r>
        <w:t xml:space="preserve">:</w:t>
      </w:r>
      <w:r>
        <w:t xml:space="preserve"> </w:t>
      </w:r>
      <w:r>
        <w:t xml:space="preserve">Population Estimates</w:t>
      </w:r>
      <w:r>
        <w:t xml:space="preserve"> </w:t>
      </w:r>
      <w:r>
        <w:t xml:space="preserve">-</w:t>
      </w:r>
      <w:r>
        <w:t xml:space="preserve"> </w:t>
      </w:r>
      <w:r>
        <w:t xml:space="preserve">United States</w:t>
      </w:r>
      <w:r>
        <w:t xml:space="preserve">,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89">
        <w:r>
          <w:rPr>
            <w:rStyle w:val="Hyperlink"/>
          </w:rPr>
          <w:t xml:space="preserve">https://doi.org/10.15585/mmwr.mm7325a1</w:t>
        </w:r>
      </w:hyperlink>
    </w:p>
    <w:bookmarkEnd w:id="90"/>
    <w:bookmarkStart w:id="91"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91"/>
    <w:bookmarkStart w:id="93"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92">
        <w:r>
          <w:rPr>
            <w:rStyle w:val="Hyperlink"/>
          </w:rPr>
          <w:t xml:space="preserve">https://doi.org/10/ghqvcw</w:t>
        </w:r>
      </w:hyperlink>
    </w:p>
    <w:bookmarkEnd w:id="93"/>
    <w:bookmarkStart w:id="95"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94">
        <w:r>
          <w:rPr>
            <w:rStyle w:val="Hyperlink"/>
          </w:rPr>
          <w:t xml:space="preserve">https://doi.org/10.1016/j.drugalcdep.2020.108350</w:t>
        </w:r>
      </w:hyperlink>
    </w:p>
    <w:bookmarkEnd w:id="95"/>
    <w:bookmarkStart w:id="97"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96">
        <w:r>
          <w:rPr>
            <w:rStyle w:val="Hyperlink"/>
          </w:rPr>
          <w:t xml:space="preserve">https://doi.org/10.1080/10826084.2021.1899225</w:t>
        </w:r>
      </w:hyperlink>
    </w:p>
    <w:bookmarkEnd w:id="97"/>
    <w:bookmarkStart w:id="98"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98"/>
    <w:bookmarkStart w:id="100"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99">
        <w:r>
          <w:rPr>
            <w:rStyle w:val="Hyperlink"/>
          </w:rPr>
          <w:t xml:space="preserve">https://doi.org/10.1016/j.drugalcdep.2006.05.012</w:t>
        </w:r>
      </w:hyperlink>
    </w:p>
    <w:bookmarkEnd w:id="100"/>
    <w:bookmarkStart w:id="101"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101"/>
    <w:bookmarkStart w:id="103" w:name="Xab8b1e00fc4d375f9004b963a8a1337eeee06ab"/>
    <w:p>
      <w:pPr>
        <w:pStyle w:val="Bibliography"/>
      </w:pPr>
      <w:r>
        <w:t xml:space="preserve">Gryczynski, J., Mitchell, S. G., Jaffe, J. H., O’Grady, K. E., Olsen, Y. K., &amp; Schwartz, R. P. (2014). Leaving</w:t>
      </w:r>
      <w:r>
        <w:t xml:space="preserve"> </w:t>
      </w:r>
      <w:r>
        <w:t xml:space="preserve">Buprenorphine Treatment</w:t>
      </w:r>
      <w:r>
        <w:t xml:space="preserve">:</w:t>
      </w:r>
      <w:r>
        <w:t xml:space="preserve"> </w:t>
      </w:r>
      <w:r>
        <w:t xml:space="preserve">Patients</w:t>
      </w:r>
      <w:r>
        <w:t xml:space="preserve">’</w:t>
      </w:r>
      <w:r>
        <w:t xml:space="preserve"> </w:t>
      </w:r>
      <w:r>
        <w:t xml:space="preserve">Reasons</w:t>
      </w:r>
      <w:r>
        <w:t xml:space="preserve"> </w:t>
      </w:r>
      <w:r>
        <w:t xml:space="preserve">for</w:t>
      </w:r>
      <w:r>
        <w:t xml:space="preserve"> </w:t>
      </w:r>
      <w:r>
        <w:t xml:space="preserve">Cessation</w:t>
      </w:r>
      <w:r>
        <w:t xml:space="preserve"> </w:t>
      </w:r>
      <w:r>
        <w:t xml:space="preserve">of</w:t>
      </w:r>
      <w:r>
        <w:t xml:space="preserve"> </w:t>
      </w:r>
      <w:r>
        <w:t xml:space="preserve">Care</w:t>
      </w:r>
      <w:r>
        <w:t xml:space="preserve">.</w:t>
      </w:r>
      <w:r>
        <w:t xml:space="preserve"> </w:t>
      </w:r>
      <w:r>
        <w:rPr>
          <w:i/>
          <w:iCs/>
        </w:rPr>
        <w:t xml:space="preserve">Journal of Substance Abuse Treatment</w:t>
      </w:r>
      <w:r>
        <w:t xml:space="preserve">,</w:t>
      </w:r>
      <w:r>
        <w:t xml:space="preserve"> </w:t>
      </w:r>
      <w:r>
        <w:rPr>
          <w:i/>
          <w:iCs/>
        </w:rPr>
        <w:t xml:space="preserve">46</w:t>
      </w:r>
      <w:r>
        <w:t xml:space="preserve">(3), 356–361.</w:t>
      </w:r>
      <w:r>
        <w:t xml:space="preserve"> </w:t>
      </w:r>
      <w:hyperlink r:id="rId102">
        <w:r>
          <w:rPr>
            <w:rStyle w:val="Hyperlink"/>
          </w:rPr>
          <w:t xml:space="preserve">https://doi.org/10.1016/j.jsat.2013.10.004</w:t>
        </w:r>
      </w:hyperlink>
    </w:p>
    <w:bookmarkEnd w:id="103"/>
    <w:bookmarkStart w:id="105"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104">
        <w:r>
          <w:rPr>
            <w:rStyle w:val="Hyperlink"/>
          </w:rPr>
          <w:t xml:space="preserve">https://doi.org/10.1016/j.drugalcdep.2013.07.027</w:t>
        </w:r>
      </w:hyperlink>
    </w:p>
    <w:bookmarkEnd w:id="105"/>
    <w:bookmarkStart w:id="107"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106">
        <w:r>
          <w:rPr>
            <w:rStyle w:val="Hyperlink"/>
          </w:rPr>
          <w:t xml:space="preserve">https://doi.org/10.1001/jamapsychiatry.2013.4642</w:t>
        </w:r>
      </w:hyperlink>
    </w:p>
    <w:bookmarkEnd w:id="107"/>
    <w:bookmarkStart w:id="108"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108"/>
    <w:bookmarkStart w:id="110"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109">
        <w:r>
          <w:rPr>
            <w:rStyle w:val="Hyperlink"/>
          </w:rPr>
          <w:t xml:space="preserve">https://doi.org/10.1016/j.josat.2025.209685</w:t>
        </w:r>
      </w:hyperlink>
    </w:p>
    <w:bookmarkEnd w:id="110"/>
    <w:bookmarkStart w:id="112"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111">
        <w:r>
          <w:rPr>
            <w:rStyle w:val="Hyperlink"/>
          </w:rPr>
          <w:t xml:space="preserve">https://doi.org/10.1097/ADM.0000000000000312</w:t>
        </w:r>
      </w:hyperlink>
    </w:p>
    <w:bookmarkEnd w:id="112"/>
    <w:bookmarkStart w:id="114"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13">
        <w:r>
          <w:rPr>
            <w:rStyle w:val="Hyperlink"/>
          </w:rPr>
          <w:t xml:space="preserve">https://doi.org/10/gfsjzg</w:t>
        </w:r>
      </w:hyperlink>
    </w:p>
    <w:bookmarkEnd w:id="114"/>
    <w:bookmarkStart w:id="116"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15">
        <w:r>
          <w:rPr>
            <w:rStyle w:val="Hyperlink"/>
          </w:rPr>
          <w:t xml:space="preserve">https://doi.org/10.1001/jamanetworkopen.2020.5852</w:t>
        </w:r>
      </w:hyperlink>
    </w:p>
    <w:bookmarkEnd w:id="116"/>
    <w:bookmarkStart w:id="11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17"/>
    <w:bookmarkStart w:id="118"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18"/>
    <w:bookmarkStart w:id="120"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19">
        <w:r>
          <w:rPr>
            <w:rStyle w:val="Hyperlink"/>
          </w:rPr>
          <w:t xml:space="preserve">https://doi.org/10.1017/S0033291724000862</w:t>
        </w:r>
      </w:hyperlink>
    </w:p>
    <w:bookmarkEnd w:id="120"/>
    <w:bookmarkStart w:id="122"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21">
        <w:r>
          <w:rPr>
            <w:rStyle w:val="Hyperlink"/>
          </w:rPr>
          <w:t xml:space="preserve">https://doi.org/10.1080/00952990.2019.1694536</w:t>
        </w:r>
      </w:hyperlink>
    </w:p>
    <w:bookmarkEnd w:id="122"/>
    <w:bookmarkStart w:id="124"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23">
        <w:r>
          <w:rPr>
            <w:rStyle w:val="Hyperlink"/>
          </w:rPr>
          <w:t xml:space="preserve">https://doi.org/10.1111/jrh.70076</w:t>
        </w:r>
      </w:hyperlink>
    </w:p>
    <w:bookmarkEnd w:id="124"/>
    <w:bookmarkStart w:id="125"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25"/>
    <w:bookmarkStart w:id="127"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26">
        <w:r>
          <w:rPr>
            <w:rStyle w:val="Hyperlink"/>
          </w:rPr>
          <w:t xml:space="preserve">https://doi.org/10.1038/s41380-018-0094-5</w:t>
        </w:r>
      </w:hyperlink>
    </w:p>
    <w:bookmarkEnd w:id="127"/>
    <w:bookmarkStart w:id="129"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128">
        <w:r>
          <w:rPr>
            <w:rStyle w:val="Hyperlink"/>
          </w:rPr>
          <w:t xml:space="preserve">https://doi.org/10.1097/JTO.0b013e3181ec173d</w:t>
        </w:r>
      </w:hyperlink>
    </w:p>
    <w:bookmarkEnd w:id="129"/>
    <w:bookmarkStart w:id="130"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30"/>
    <w:bookmarkStart w:id="132"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31">
        <w:r>
          <w:rPr>
            <w:rStyle w:val="Hyperlink"/>
          </w:rPr>
          <w:t xml:space="preserve">https://doi.org/10.1177/00333549211041554</w:t>
        </w:r>
      </w:hyperlink>
    </w:p>
    <w:bookmarkEnd w:id="132"/>
    <w:bookmarkStart w:id="134"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33">
        <w:r>
          <w:rPr>
            <w:rStyle w:val="Hyperlink"/>
          </w:rPr>
          <w:t xml:space="preserve">https://doi.org/10.1016/j.cpr.2017.10.012</w:t>
        </w:r>
      </w:hyperlink>
    </w:p>
    <w:bookmarkEnd w:id="134"/>
    <w:bookmarkStart w:id="136"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135">
        <w:r>
          <w:rPr>
            <w:rStyle w:val="Hyperlink"/>
          </w:rPr>
          <w:t xml:space="preserve">https://doi.org/10.1001/jama.284.13.1689</w:t>
        </w:r>
      </w:hyperlink>
    </w:p>
    <w:bookmarkEnd w:id="136"/>
    <w:bookmarkStart w:id="138"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37">
        <w:r>
          <w:rPr>
            <w:rStyle w:val="Hyperlink"/>
          </w:rPr>
          <w:t xml:space="preserve">https://doi.org/10.1146/annurev-clinpsy-032816-044949</w:t>
        </w:r>
      </w:hyperlink>
    </w:p>
    <w:bookmarkEnd w:id="138"/>
    <w:bookmarkStart w:id="14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39">
        <w:r>
          <w:rPr>
            <w:rStyle w:val="Hyperlink"/>
          </w:rPr>
          <w:t xml:space="preserve">https://doi.org/10.2196/29563</w:t>
        </w:r>
      </w:hyperlink>
    </w:p>
    <w:bookmarkEnd w:id="140"/>
    <w:bookmarkStart w:id="142" w:name="ref-novakBehavioralHealthTreatment2019"/>
    <w:p>
      <w:pPr>
        <w:pStyle w:val="Bibliography"/>
      </w:pPr>
      <w:r>
        <w:t xml:space="preserve">Novak, P., Feder, K. A., Ali, M. M., &amp; Chen, J. (2019). Behavioral health treatment utilization among individuals with co-occurring opioid use disorder and mental illness:</w:t>
      </w:r>
      <w:r>
        <w:t xml:space="preserve"> </w:t>
      </w:r>
      <w:r>
        <w:t xml:space="preserve">Evidence</w:t>
      </w:r>
      <w:r>
        <w:t xml:space="preserve"> </w:t>
      </w:r>
      <w:r>
        <w:t xml:space="preserve">from a national survey.</w:t>
      </w:r>
      <w:r>
        <w:t xml:space="preserve"> </w:t>
      </w:r>
      <w:r>
        <w:rPr>
          <w:i/>
          <w:iCs/>
        </w:rPr>
        <w:t xml:space="preserve">Journal of Substance Abuse Treatment</w:t>
      </w:r>
      <w:r>
        <w:t xml:space="preserve">,</w:t>
      </w:r>
      <w:r>
        <w:t xml:space="preserve"> </w:t>
      </w:r>
      <w:r>
        <w:rPr>
          <w:i/>
          <w:iCs/>
        </w:rPr>
        <w:t xml:space="preserve">98</w:t>
      </w:r>
      <w:r>
        <w:t xml:space="preserve">, 47–52.</w:t>
      </w:r>
      <w:r>
        <w:t xml:space="preserve"> </w:t>
      </w:r>
      <w:hyperlink r:id="rId141">
        <w:r>
          <w:rPr>
            <w:rStyle w:val="Hyperlink"/>
          </w:rPr>
          <w:t xml:space="preserve">https://doi.org/10.1016/j.jsat.2018.12.006</w:t>
        </w:r>
      </w:hyperlink>
    </w:p>
    <w:bookmarkEnd w:id="142"/>
    <w:bookmarkStart w:id="144"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43">
        <w:r>
          <w:rPr>
            <w:rStyle w:val="Hyperlink"/>
          </w:rPr>
          <w:t xml:space="preserve">https://doi.org/10.1016/j.jsat.2021.108710</w:t>
        </w:r>
      </w:hyperlink>
    </w:p>
    <w:bookmarkEnd w:id="144"/>
    <w:bookmarkStart w:id="146"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45">
        <w:r>
          <w:rPr>
            <w:rStyle w:val="Hyperlink"/>
          </w:rPr>
          <w:t xml:space="preserve">https://doi.org/10.1037/tps0000250</w:t>
        </w:r>
      </w:hyperlink>
    </w:p>
    <w:bookmarkEnd w:id="146"/>
    <w:bookmarkStart w:id="148"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47">
        <w:r>
          <w:rPr>
            <w:rStyle w:val="Hyperlink"/>
          </w:rPr>
          <w:t xml:space="preserve">https://doi.org/10.1016/j.drugalcdep.2019.05.017</w:t>
        </w:r>
      </w:hyperlink>
    </w:p>
    <w:bookmarkEnd w:id="148"/>
    <w:bookmarkStart w:id="149"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49"/>
    <w:bookmarkStart w:id="151"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50">
        <w:r>
          <w:rPr>
            <w:rStyle w:val="Hyperlink"/>
          </w:rPr>
          <w:t xml:space="preserve">https://doi.org/10.2196/73265</w:t>
        </w:r>
      </w:hyperlink>
    </w:p>
    <w:bookmarkEnd w:id="151"/>
    <w:bookmarkStart w:id="153" w:name="ref-rajkomarEnsuringFairnessMachine2018"/>
    <w:p>
      <w:pPr>
        <w:pStyle w:val="Bibliography"/>
      </w:pPr>
      <w:r>
        <w:t xml:space="preserve">Rajkomar, A., Hardt, M., Howell, M. D., Corrado, G., &amp; Chin, M. H. (2018). Ensuring</w:t>
      </w:r>
      <w:r>
        <w:t xml:space="preserve"> </w:t>
      </w:r>
      <w:r>
        <w:t xml:space="preserve">Fairness</w:t>
      </w:r>
      <w:r>
        <w:t xml:space="preserve"> </w:t>
      </w:r>
      <w:r>
        <w:t xml:space="preserve">in</w:t>
      </w:r>
      <w:r>
        <w:t xml:space="preserve"> </w:t>
      </w:r>
      <w:r>
        <w:t xml:space="preserve">Machine Learning</w:t>
      </w:r>
      <w:r>
        <w:t xml:space="preserve"> </w:t>
      </w:r>
      <w:r>
        <w:t xml:space="preserve">to</w:t>
      </w:r>
      <w:r>
        <w:t xml:space="preserve"> </w:t>
      </w:r>
      <w:r>
        <w:t xml:space="preserve">Advance Health Equity</w:t>
      </w:r>
      <w:r>
        <w:t xml:space="preserve">.</w:t>
      </w:r>
      <w:r>
        <w:t xml:space="preserve"> </w:t>
      </w:r>
      <w:r>
        <w:rPr>
          <w:i/>
          <w:iCs/>
        </w:rPr>
        <w:t xml:space="preserve">Annals of Internal Medicine</w:t>
      </w:r>
      <w:r>
        <w:t xml:space="preserve">,</w:t>
      </w:r>
      <w:r>
        <w:t xml:space="preserve"> </w:t>
      </w:r>
      <w:r>
        <w:rPr>
          <w:i/>
          <w:iCs/>
        </w:rPr>
        <w:t xml:space="preserve">169</w:t>
      </w:r>
      <w:r>
        <w:t xml:space="preserve">(12), 866.</w:t>
      </w:r>
      <w:r>
        <w:t xml:space="preserve"> </w:t>
      </w:r>
      <w:hyperlink r:id="rId152">
        <w:r>
          <w:rPr>
            <w:rStyle w:val="Hyperlink"/>
          </w:rPr>
          <w:t xml:space="preserve">https://doi.org/10.7326/M18-1990</w:t>
        </w:r>
      </w:hyperlink>
    </w:p>
    <w:bookmarkEnd w:id="153"/>
    <w:bookmarkStart w:id="155"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54">
        <w:r>
          <w:rPr>
            <w:rStyle w:val="Hyperlink"/>
          </w:rPr>
          <w:t xml:space="preserve">https://doi.org/10.1377/hlthaff.2011.0983</w:t>
        </w:r>
      </w:hyperlink>
    </w:p>
    <w:bookmarkEnd w:id="155"/>
    <w:bookmarkStart w:id="157"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56">
        <w:r>
          <w:rPr>
            <w:rStyle w:val="Hyperlink"/>
          </w:rPr>
          <w:t xml:space="preserve">https://doi.org/10.1111/j.1530-0277.2006.00263.x</w:t>
        </w:r>
      </w:hyperlink>
    </w:p>
    <w:bookmarkEnd w:id="157"/>
    <w:bookmarkStart w:id="159"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58">
        <w:r>
          <w:rPr>
            <w:rStyle w:val="Hyperlink"/>
          </w:rPr>
          <w:t xml:space="preserve">https://doi.org/10.1001/jamapsychiatry.2013.4450</w:t>
        </w:r>
      </w:hyperlink>
    </w:p>
    <w:bookmarkEnd w:id="159"/>
    <w:bookmarkStart w:id="161" w:name="ref-skolnickSyntheticOpioidsHave2024"/>
    <w:p>
      <w:pPr>
        <w:pStyle w:val="Bibliography"/>
      </w:pPr>
      <w:r>
        <w:t xml:space="preserve">Skolnick, P., Paavola, J., &amp; Heidbreder, C. (2024). Synthetic opioids have disrupted conventional wisdom for treating opioid overdose.</w:t>
      </w:r>
      <w:r>
        <w:t xml:space="preserve"> </w:t>
      </w:r>
      <w:r>
        <w:rPr>
          <w:i/>
          <w:iCs/>
        </w:rPr>
        <w:t xml:space="preserve">Drug and Alcohol Dependence Reports</w:t>
      </w:r>
      <w:r>
        <w:t xml:space="preserve">,</w:t>
      </w:r>
      <w:r>
        <w:t xml:space="preserve"> </w:t>
      </w:r>
      <w:r>
        <w:rPr>
          <w:i/>
          <w:iCs/>
        </w:rPr>
        <w:t xml:space="preserve">12</w:t>
      </w:r>
      <w:r>
        <w:t xml:space="preserve">, 100268.</w:t>
      </w:r>
      <w:r>
        <w:t xml:space="preserve"> </w:t>
      </w:r>
      <w:hyperlink r:id="rId160">
        <w:r>
          <w:rPr>
            <w:rStyle w:val="Hyperlink"/>
          </w:rPr>
          <w:t xml:space="preserve">https://doi.org/10.1016/j.dadr.2024.100268</w:t>
        </w:r>
      </w:hyperlink>
    </w:p>
    <w:bookmarkEnd w:id="161"/>
    <w:bookmarkStart w:id="163"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62">
        <w:r>
          <w:rPr>
            <w:rStyle w:val="Hyperlink"/>
          </w:rPr>
          <w:t xml:space="preserve">https://doi.org/10.1037/0003-066X.60.4.340</w:t>
        </w:r>
      </w:hyperlink>
    </w:p>
    <w:bookmarkEnd w:id="163"/>
    <w:bookmarkStart w:id="165" w:name="ref-strangLossToleranceOverdose2003"/>
    <w:p>
      <w:pPr>
        <w:pStyle w:val="Bibliography"/>
      </w:pPr>
      <w:r>
        <w:t xml:space="preserve">Strang, J., McCambridge, J., Best, D., Beswick, T., Bearn, J., Rees, S., &amp; Gossop, M. (2003). Loss of tolerance and overdose mortality after inpatient opiate detoxification: Follow up study.</w:t>
      </w:r>
      <w:r>
        <w:t xml:space="preserve"> </w:t>
      </w:r>
      <w:r>
        <w:rPr>
          <w:i/>
          <w:iCs/>
        </w:rPr>
        <w:t xml:space="preserve">BMJ</w:t>
      </w:r>
      <w:r>
        <w:t xml:space="preserve">,</w:t>
      </w:r>
      <w:r>
        <w:t xml:space="preserve"> </w:t>
      </w:r>
      <w:r>
        <w:rPr>
          <w:i/>
          <w:iCs/>
        </w:rPr>
        <w:t xml:space="preserve">326</w:t>
      </w:r>
      <w:r>
        <w:t xml:space="preserve">(7396), 959–960.</w:t>
      </w:r>
      <w:r>
        <w:t xml:space="preserve"> </w:t>
      </w:r>
      <w:hyperlink r:id="rId164">
        <w:r>
          <w:rPr>
            <w:rStyle w:val="Hyperlink"/>
          </w:rPr>
          <w:t xml:space="preserve">https://doi.org/10.1136/bmj.326.7396.959</w:t>
        </w:r>
      </w:hyperlink>
    </w:p>
    <w:bookmarkEnd w:id="165"/>
    <w:bookmarkStart w:id="166"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66"/>
    <w:bookmarkStart w:id="168"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67">
        <w:r>
          <w:rPr>
            <w:rStyle w:val="Hyperlink"/>
          </w:rPr>
          <w:t xml:space="preserve">https://doi.org/10.1016/j.landig.2025.100916</w:t>
        </w:r>
      </w:hyperlink>
    </w:p>
    <w:bookmarkEnd w:id="168"/>
    <w:bookmarkStart w:id="170"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69">
        <w:r>
          <w:rPr>
            <w:rStyle w:val="Hyperlink"/>
          </w:rPr>
          <w:t xml:space="preserve">https://doi.org/10.1016/j.artmed.2020.101987</w:t>
        </w:r>
      </w:hyperlink>
    </w:p>
    <w:bookmarkEnd w:id="170"/>
    <w:bookmarkStart w:id="172"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71">
        <w:r>
          <w:rPr>
            <w:rStyle w:val="Hyperlink"/>
          </w:rPr>
          <w:t xml:space="preserve">https://doi.org/10.1016/j.cpr.2005.11.003</w:t>
        </w:r>
      </w:hyperlink>
    </w:p>
    <w:bookmarkEnd w:id="172"/>
    <w:bookmarkStart w:id="173"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73"/>
    <w:bookmarkStart w:id="175"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74">
        <w:r>
          <w:rPr>
            <w:rStyle w:val="Hyperlink"/>
          </w:rPr>
          <w:t xml:space="preserve">https://doi.org/10.1037/0003-066X.59.4.224</w:t>
        </w:r>
      </w:hyperlink>
    </w:p>
    <w:bookmarkEnd w:id="175"/>
    <w:bookmarkStart w:id="177"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76">
        <w:r>
          <w:rPr>
            <w:rStyle w:val="Hyperlink"/>
          </w:rPr>
          <w:t xml:space="preserve">https://doi.org/10.1080/14659891.2018.1523968</w:t>
        </w:r>
      </w:hyperlink>
    </w:p>
    <w:bookmarkEnd w:id="177"/>
    <w:bookmarkStart w:id="179"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78">
        <w:r>
          <w:rPr>
            <w:rStyle w:val="Hyperlink"/>
          </w:rPr>
          <w:t xml:space="preserve">https://doi.org/10.2196/41833</w:t>
        </w:r>
      </w:hyperlink>
    </w:p>
    <w:bookmarkEnd w:id="179"/>
    <w:bookmarkStart w:id="181"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80">
        <w:r>
          <w:rPr>
            <w:rStyle w:val="Hyperlink"/>
          </w:rPr>
          <w:t xml:space="preserve">https://doi.org/10.31234/osf.io/cgsf7</w:t>
        </w:r>
      </w:hyperlink>
    </w:p>
    <w:bookmarkEnd w:id="181"/>
    <w:bookmarkStart w:id="183"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82">
        <w:r>
          <w:rPr>
            <w:rStyle w:val="Hyperlink"/>
          </w:rPr>
          <w:t xml:space="preserve">https://doi.org/10.1080/17441692.2023.2277854</w:t>
        </w:r>
      </w:hyperlink>
    </w:p>
    <w:bookmarkEnd w:id="183"/>
    <w:bookmarkEnd w:id="184"/>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0">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0">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7">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8">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1">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hyperlink" Id="rId135" Target="https://doi.org/10.1001/jama.284.13.1689" TargetMode="External" /><Relationship Type="http://schemas.openxmlformats.org/officeDocument/2006/relationships/hyperlink" Id="rId115" Target="https://doi.org/10.1001/jamanetworkopen.2020.5852" TargetMode="External" /><Relationship Type="http://schemas.openxmlformats.org/officeDocument/2006/relationships/hyperlink" Id="rId158" Target="https://doi.org/10.1001/jamapsychiatry.2013.4450" TargetMode="External" /><Relationship Type="http://schemas.openxmlformats.org/officeDocument/2006/relationships/hyperlink" Id="rId106" Target="https://doi.org/10.1001/jamapsychiatry.2013.4642" TargetMode="External" /><Relationship Type="http://schemas.openxmlformats.org/officeDocument/2006/relationships/hyperlink" Id="rId77" Target="https://doi.org/10.1001/jamapsychiatry.2021.1969" TargetMode="External" /><Relationship Type="http://schemas.openxmlformats.org/officeDocument/2006/relationships/hyperlink" Id="rId169" Target="https://doi.org/10.1016/j.artmed.2020.101987" TargetMode="External" /><Relationship Type="http://schemas.openxmlformats.org/officeDocument/2006/relationships/hyperlink" Id="rId171" Target="https://doi.org/10.1016/j.cpr.2005.11.003" TargetMode="External" /><Relationship Type="http://schemas.openxmlformats.org/officeDocument/2006/relationships/hyperlink" Id="rId133" Target="https://doi.org/10.1016/j.cpr.2017.10.012" TargetMode="External" /><Relationship Type="http://schemas.openxmlformats.org/officeDocument/2006/relationships/hyperlink" Id="rId160" Target="https://doi.org/10.1016/j.dadr.2024.100268" TargetMode="External" /><Relationship Type="http://schemas.openxmlformats.org/officeDocument/2006/relationships/hyperlink" Id="rId99" Target="https://doi.org/10.1016/j.drugalcdep.2006.05.012" TargetMode="External" /><Relationship Type="http://schemas.openxmlformats.org/officeDocument/2006/relationships/hyperlink" Id="rId104" Target="https://doi.org/10.1016/j.drugalcdep.2013.07.027" TargetMode="External" /><Relationship Type="http://schemas.openxmlformats.org/officeDocument/2006/relationships/hyperlink" Id="rId81" Target="https://doi.org/10.1016/j.drugalcdep.2014.10.004" TargetMode="External" /><Relationship Type="http://schemas.openxmlformats.org/officeDocument/2006/relationships/hyperlink" Id="rId147" Target="https://doi.org/10.1016/j.drugalcdep.2019.05.017" TargetMode="External" /><Relationship Type="http://schemas.openxmlformats.org/officeDocument/2006/relationships/hyperlink" Id="rId94" Target="https://doi.org/10.1016/j.drugalcdep.2020.108350" TargetMode="External" /><Relationship Type="http://schemas.openxmlformats.org/officeDocument/2006/relationships/hyperlink" Id="rId109" Target="https://doi.org/10.1016/j.josat.2025.209685" TargetMode="External" /><Relationship Type="http://schemas.openxmlformats.org/officeDocument/2006/relationships/hyperlink" Id="rId102" Target="https://doi.org/10.1016/j.jsat.2013.10.004" TargetMode="External" /><Relationship Type="http://schemas.openxmlformats.org/officeDocument/2006/relationships/hyperlink" Id="rId141" Target="https://doi.org/10.1016/j.jsat.2018.12.006" TargetMode="External" /><Relationship Type="http://schemas.openxmlformats.org/officeDocument/2006/relationships/hyperlink" Id="rId143" Target="https://doi.org/10.1016/j.jsat.2021.108710" TargetMode="External" /><Relationship Type="http://schemas.openxmlformats.org/officeDocument/2006/relationships/hyperlink" Id="rId167" Target="https://doi.org/10.1016/j.landig.2025.100916" TargetMode="External" /><Relationship Type="http://schemas.openxmlformats.org/officeDocument/2006/relationships/hyperlink" Id="rId119" Target="https://doi.org/10.1017/S0033291724000862" TargetMode="External" /><Relationship Type="http://schemas.openxmlformats.org/officeDocument/2006/relationships/hyperlink" Id="rId174" Target="https://doi.org/10.1037/0003-066X.59.4.224" TargetMode="External" /><Relationship Type="http://schemas.openxmlformats.org/officeDocument/2006/relationships/hyperlink" Id="rId162" Target="https://doi.org/10.1037/0003-066X.60.4.340" TargetMode="External" /><Relationship Type="http://schemas.openxmlformats.org/officeDocument/2006/relationships/hyperlink" Id="rId145" Target="https://doi.org/10.1037/tps0000250" TargetMode="External" /><Relationship Type="http://schemas.openxmlformats.org/officeDocument/2006/relationships/hyperlink" Id="rId126" Target="https://doi.org/10.1038/s41380-018-0094-5" TargetMode="External" /><Relationship Type="http://schemas.openxmlformats.org/officeDocument/2006/relationships/hyperlink" Id="rId121" Target="https://doi.org/10.1080/00952990.2019.1694536" TargetMode="External" /><Relationship Type="http://schemas.openxmlformats.org/officeDocument/2006/relationships/hyperlink" Id="rId96" Target="https://doi.org/10.1080/10826084.2021.1899225" TargetMode="External" /><Relationship Type="http://schemas.openxmlformats.org/officeDocument/2006/relationships/hyperlink" Id="rId176" Target="https://doi.org/10.1080/14659891.2018.1523968" TargetMode="External" /><Relationship Type="http://schemas.openxmlformats.org/officeDocument/2006/relationships/hyperlink" Id="rId182" Target="https://doi.org/10.1080/17441692.2023.2277854" TargetMode="External" /><Relationship Type="http://schemas.openxmlformats.org/officeDocument/2006/relationships/hyperlink" Id="rId111" Target="https://doi.org/10.1097/ADM.0000000000000312" TargetMode="External" /><Relationship Type="http://schemas.openxmlformats.org/officeDocument/2006/relationships/hyperlink" Id="rId128" Target="https://doi.org/10.1097/JTO.0b013e3181ec173d" TargetMode="External" /><Relationship Type="http://schemas.openxmlformats.org/officeDocument/2006/relationships/hyperlink" Id="rId87" Target="https://doi.org/10.1111/geb.13070" TargetMode="External" /><Relationship Type="http://schemas.openxmlformats.org/officeDocument/2006/relationships/hyperlink" Id="rId156" Target="https://doi.org/10.1111/j.1530-0277.2006.00263.x" TargetMode="External" /><Relationship Type="http://schemas.openxmlformats.org/officeDocument/2006/relationships/hyperlink" Id="rId123" Target="https://doi.org/10.1111/jrh.70076" TargetMode="External" /><Relationship Type="http://schemas.openxmlformats.org/officeDocument/2006/relationships/hyperlink" Id="rId83" Target="https://doi.org/10.1136/bmj-2023-078378" TargetMode="External" /><Relationship Type="http://schemas.openxmlformats.org/officeDocument/2006/relationships/hyperlink" Id="rId164" Target="https://doi.org/10.1136/bmj.326.7396.959" TargetMode="External" /><Relationship Type="http://schemas.openxmlformats.org/officeDocument/2006/relationships/hyperlink" Id="rId137" Target="https://doi.org/10.1146/annurev-clinpsy-032816-044949" TargetMode="External" /><Relationship Type="http://schemas.openxmlformats.org/officeDocument/2006/relationships/hyperlink" Id="rId131" Target="https://doi.org/10.1177/00333549211041554" TargetMode="External" /><Relationship Type="http://schemas.openxmlformats.org/officeDocument/2006/relationships/hyperlink" Id="rId154" Target="https://doi.org/10.1377/hlthaff.2011.0983" TargetMode="External" /><Relationship Type="http://schemas.openxmlformats.org/officeDocument/2006/relationships/hyperlink" Id="rId89" Target="https://doi.org/10.15585/mmwr.mm7325a1" TargetMode="External" /><Relationship Type="http://schemas.openxmlformats.org/officeDocument/2006/relationships/hyperlink" Id="rId79" Target="https://doi.org/10.21231/GNT1-HW21" TargetMode="External" /><Relationship Type="http://schemas.openxmlformats.org/officeDocument/2006/relationships/hyperlink" Id="rId139" Target="https://doi.org/10.2196/29563" TargetMode="External" /><Relationship Type="http://schemas.openxmlformats.org/officeDocument/2006/relationships/hyperlink" Id="rId178"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0" Target="https://doi.org/10.31234/osf.io/cgsf7" TargetMode="External" /><Relationship Type="http://schemas.openxmlformats.org/officeDocument/2006/relationships/hyperlink" Id="rId152" Target="https://doi.org/10.7326/M18-1990" TargetMode="External" /><Relationship Type="http://schemas.openxmlformats.org/officeDocument/2006/relationships/hyperlink" Id="rId113" Target="https://doi.org/10/gfsjzg" TargetMode="External" /><Relationship Type="http://schemas.openxmlformats.org/officeDocument/2006/relationships/hyperlink" Id="rId92"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6" Target="https://jjcurtin.github.io/study_risk2/notebooks\mak_figures-preview.html#cell-fig-2" TargetMode="External" /><Relationship Type="http://schemas.openxmlformats.org/officeDocument/2006/relationships/hyperlink" Id="rId62" Target="https://jjcurtin.github.io/study_risk2/notebooks\mak_figures-preview.html#cell-fig-3" TargetMode="External" /><Relationship Type="http://schemas.openxmlformats.org/officeDocument/2006/relationships/hyperlink" Id="rId67"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5" Target="https://www.ncbi.nlm.nih.gov/pmc/articles/PMC2797101" TargetMode="External" /></Relationships>
</file>

<file path=word/_rels/footnotes.xml.rels><?xml version="1.0" encoding="UTF-8"?><Relationships xmlns="http://schemas.openxmlformats.org/package/2006/relationships"><Relationship Type="http://schemas.openxmlformats.org/officeDocument/2006/relationships/hyperlink" Id="rId135" Target="https://doi.org/10.1001/jama.284.13.1689" TargetMode="External" /><Relationship Type="http://schemas.openxmlformats.org/officeDocument/2006/relationships/hyperlink" Id="rId115" Target="https://doi.org/10.1001/jamanetworkopen.2020.5852" TargetMode="External" /><Relationship Type="http://schemas.openxmlformats.org/officeDocument/2006/relationships/hyperlink" Id="rId158" Target="https://doi.org/10.1001/jamapsychiatry.2013.4450" TargetMode="External" /><Relationship Type="http://schemas.openxmlformats.org/officeDocument/2006/relationships/hyperlink" Id="rId106" Target="https://doi.org/10.1001/jamapsychiatry.2013.4642" TargetMode="External" /><Relationship Type="http://schemas.openxmlformats.org/officeDocument/2006/relationships/hyperlink" Id="rId77" Target="https://doi.org/10.1001/jamapsychiatry.2021.1969" TargetMode="External" /><Relationship Type="http://schemas.openxmlformats.org/officeDocument/2006/relationships/hyperlink" Id="rId169" Target="https://doi.org/10.1016/j.artmed.2020.101987" TargetMode="External" /><Relationship Type="http://schemas.openxmlformats.org/officeDocument/2006/relationships/hyperlink" Id="rId171" Target="https://doi.org/10.1016/j.cpr.2005.11.003" TargetMode="External" /><Relationship Type="http://schemas.openxmlformats.org/officeDocument/2006/relationships/hyperlink" Id="rId133" Target="https://doi.org/10.1016/j.cpr.2017.10.012" TargetMode="External" /><Relationship Type="http://schemas.openxmlformats.org/officeDocument/2006/relationships/hyperlink" Id="rId160" Target="https://doi.org/10.1016/j.dadr.2024.100268" TargetMode="External" /><Relationship Type="http://schemas.openxmlformats.org/officeDocument/2006/relationships/hyperlink" Id="rId99" Target="https://doi.org/10.1016/j.drugalcdep.2006.05.012" TargetMode="External" /><Relationship Type="http://schemas.openxmlformats.org/officeDocument/2006/relationships/hyperlink" Id="rId104" Target="https://doi.org/10.1016/j.drugalcdep.2013.07.027" TargetMode="External" /><Relationship Type="http://schemas.openxmlformats.org/officeDocument/2006/relationships/hyperlink" Id="rId81" Target="https://doi.org/10.1016/j.drugalcdep.2014.10.004" TargetMode="External" /><Relationship Type="http://schemas.openxmlformats.org/officeDocument/2006/relationships/hyperlink" Id="rId147" Target="https://doi.org/10.1016/j.drugalcdep.2019.05.017" TargetMode="External" /><Relationship Type="http://schemas.openxmlformats.org/officeDocument/2006/relationships/hyperlink" Id="rId94" Target="https://doi.org/10.1016/j.drugalcdep.2020.108350" TargetMode="External" /><Relationship Type="http://schemas.openxmlformats.org/officeDocument/2006/relationships/hyperlink" Id="rId109" Target="https://doi.org/10.1016/j.josat.2025.209685" TargetMode="External" /><Relationship Type="http://schemas.openxmlformats.org/officeDocument/2006/relationships/hyperlink" Id="rId102" Target="https://doi.org/10.1016/j.jsat.2013.10.004" TargetMode="External" /><Relationship Type="http://schemas.openxmlformats.org/officeDocument/2006/relationships/hyperlink" Id="rId141" Target="https://doi.org/10.1016/j.jsat.2018.12.006" TargetMode="External" /><Relationship Type="http://schemas.openxmlformats.org/officeDocument/2006/relationships/hyperlink" Id="rId143" Target="https://doi.org/10.1016/j.jsat.2021.108710" TargetMode="External" /><Relationship Type="http://schemas.openxmlformats.org/officeDocument/2006/relationships/hyperlink" Id="rId167" Target="https://doi.org/10.1016/j.landig.2025.100916" TargetMode="External" /><Relationship Type="http://schemas.openxmlformats.org/officeDocument/2006/relationships/hyperlink" Id="rId119" Target="https://doi.org/10.1017/S0033291724000862" TargetMode="External" /><Relationship Type="http://schemas.openxmlformats.org/officeDocument/2006/relationships/hyperlink" Id="rId174" Target="https://doi.org/10.1037/0003-066X.59.4.224" TargetMode="External" /><Relationship Type="http://schemas.openxmlformats.org/officeDocument/2006/relationships/hyperlink" Id="rId162" Target="https://doi.org/10.1037/0003-066X.60.4.340" TargetMode="External" /><Relationship Type="http://schemas.openxmlformats.org/officeDocument/2006/relationships/hyperlink" Id="rId145" Target="https://doi.org/10.1037/tps0000250" TargetMode="External" /><Relationship Type="http://schemas.openxmlformats.org/officeDocument/2006/relationships/hyperlink" Id="rId126" Target="https://doi.org/10.1038/s41380-018-0094-5" TargetMode="External" /><Relationship Type="http://schemas.openxmlformats.org/officeDocument/2006/relationships/hyperlink" Id="rId121" Target="https://doi.org/10.1080/00952990.2019.1694536" TargetMode="External" /><Relationship Type="http://schemas.openxmlformats.org/officeDocument/2006/relationships/hyperlink" Id="rId96" Target="https://doi.org/10.1080/10826084.2021.1899225" TargetMode="External" /><Relationship Type="http://schemas.openxmlformats.org/officeDocument/2006/relationships/hyperlink" Id="rId176" Target="https://doi.org/10.1080/14659891.2018.1523968" TargetMode="External" /><Relationship Type="http://schemas.openxmlformats.org/officeDocument/2006/relationships/hyperlink" Id="rId182" Target="https://doi.org/10.1080/17441692.2023.2277854" TargetMode="External" /><Relationship Type="http://schemas.openxmlformats.org/officeDocument/2006/relationships/hyperlink" Id="rId111" Target="https://doi.org/10.1097/ADM.0000000000000312" TargetMode="External" /><Relationship Type="http://schemas.openxmlformats.org/officeDocument/2006/relationships/hyperlink" Id="rId128" Target="https://doi.org/10.1097/JTO.0b013e3181ec173d" TargetMode="External" /><Relationship Type="http://schemas.openxmlformats.org/officeDocument/2006/relationships/hyperlink" Id="rId87" Target="https://doi.org/10.1111/geb.13070" TargetMode="External" /><Relationship Type="http://schemas.openxmlformats.org/officeDocument/2006/relationships/hyperlink" Id="rId156" Target="https://doi.org/10.1111/j.1530-0277.2006.00263.x" TargetMode="External" /><Relationship Type="http://schemas.openxmlformats.org/officeDocument/2006/relationships/hyperlink" Id="rId123" Target="https://doi.org/10.1111/jrh.70076" TargetMode="External" /><Relationship Type="http://schemas.openxmlformats.org/officeDocument/2006/relationships/hyperlink" Id="rId83" Target="https://doi.org/10.1136/bmj-2023-078378" TargetMode="External" /><Relationship Type="http://schemas.openxmlformats.org/officeDocument/2006/relationships/hyperlink" Id="rId164" Target="https://doi.org/10.1136/bmj.326.7396.959" TargetMode="External" /><Relationship Type="http://schemas.openxmlformats.org/officeDocument/2006/relationships/hyperlink" Id="rId137" Target="https://doi.org/10.1146/annurev-clinpsy-032816-044949" TargetMode="External" /><Relationship Type="http://schemas.openxmlformats.org/officeDocument/2006/relationships/hyperlink" Id="rId131" Target="https://doi.org/10.1177/00333549211041554" TargetMode="External" /><Relationship Type="http://schemas.openxmlformats.org/officeDocument/2006/relationships/hyperlink" Id="rId154" Target="https://doi.org/10.1377/hlthaff.2011.0983" TargetMode="External" /><Relationship Type="http://schemas.openxmlformats.org/officeDocument/2006/relationships/hyperlink" Id="rId89" Target="https://doi.org/10.15585/mmwr.mm7325a1" TargetMode="External" /><Relationship Type="http://schemas.openxmlformats.org/officeDocument/2006/relationships/hyperlink" Id="rId79" Target="https://doi.org/10.21231/GNT1-HW21" TargetMode="External" /><Relationship Type="http://schemas.openxmlformats.org/officeDocument/2006/relationships/hyperlink" Id="rId139" Target="https://doi.org/10.2196/29563" TargetMode="External" /><Relationship Type="http://schemas.openxmlformats.org/officeDocument/2006/relationships/hyperlink" Id="rId178"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0" Target="https://doi.org/10.31234/osf.io/cgsf7" TargetMode="External" /><Relationship Type="http://schemas.openxmlformats.org/officeDocument/2006/relationships/hyperlink" Id="rId152" Target="https://doi.org/10.7326/M18-1990" TargetMode="External" /><Relationship Type="http://schemas.openxmlformats.org/officeDocument/2006/relationships/hyperlink" Id="rId113" Target="https://doi.org/10/gfsjzg" TargetMode="External" /><Relationship Type="http://schemas.openxmlformats.org/officeDocument/2006/relationships/hyperlink" Id="rId92"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6" Target="https://jjcurtin.github.io/study_risk2/notebooks\mak_figures-preview.html#cell-fig-2" TargetMode="External" /><Relationship Type="http://schemas.openxmlformats.org/officeDocument/2006/relationships/hyperlink" Id="rId62" Target="https://jjcurtin.github.io/study_risk2/notebooks\mak_figures-preview.html#cell-fig-3" TargetMode="External" /><Relationship Type="http://schemas.openxmlformats.org/officeDocument/2006/relationships/hyperlink" Id="rId67"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5" Target="https://www.ncbi.nlm.nih.gov/pmc/articles/PMC27971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Contextualized opioid lapse risk prediction using daily surveys and geolocation data in a national sample</dc:title>
  <dc:creator>Kendra Wyant; John J. Curtin</dc:creator>
  <cp:keywords>Substance use disorders, Precision mental health</cp:keywords>
  <dcterms:created xsi:type="dcterms:W3CDTF">2026-09-17T03:52:56Z</dcterms:created>
  <dcterms:modified xsi:type="dcterms:W3CDTF">2026-09-17T03:52:56Z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2026-09-16</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