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Override PartName="/word/media/rId64.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2026-03-10</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Opioid use disorder</w:t>
      </w:r>
      <w:r>
        <w:t xml:space="preserve"> </w:t>
      </w:r>
      <w:r>
        <w:t xml:space="preserve">- Prevalence</w:t>
      </w:r>
      <w:r>
        <w:t xml:space="preserve"> </w:t>
      </w:r>
      <w:r>
        <w:t xml:space="preserve">- harms</w:t>
      </w:r>
      <w:r>
        <w:t xml:space="preserve"> </w:t>
      </w:r>
      <w:r>
        <w:t xml:space="preserve">- cost</w:t>
      </w:r>
      <w:r>
        <w:t xml:space="preserve"> </w:t>
      </w:r>
      <w:r>
        <w:t xml:space="preserve">- When also accounting for costs associated with loss of life and reduced quality of life, one research group estimated that in 2017 the cost of opioid use disorder alone exceeded $1 trillion (Florence et al., 2021).</w:t>
      </w:r>
    </w:p>
    <w:p>
      <w:pPr>
        <w:pStyle w:val="BodyText"/>
      </w:pPr>
      <w:r>
        <w:t xml:space="preserve">MOUD is efficacious.</w:t>
      </w:r>
    </w:p>
    <w:p>
      <w:pPr>
        <w:pStyle w:val="BodyText"/>
      </w:pPr>
      <w:r>
        <w:t xml:space="preserve">Lapses are still frequent even with MOUD maintenance and put individual at high risk of relapse and overdose.</w:t>
      </w:r>
    </w:p>
    <w:p>
      <w:pPr>
        <w:pStyle w:val="BodyText"/>
      </w:pPr>
      <w:r>
        <w:t xml:space="preserve">Relapse prevention constructs from literature associated with opioid lapse</w:t>
      </w:r>
      <w:r>
        <w:t xml:space="preserve"> </w:t>
      </w:r>
    </w:p>
    <w:p>
      <w:pPr>
        <w:pStyle w:val="BodyText"/>
      </w:pPr>
      <w:r>
        <w:t xml:space="preserve">Map onto EMA and GPS sensing features</w:t>
      </w:r>
    </w:p>
    <w:p>
      <w:pPr>
        <w:pStyle w:val="BodyText"/>
      </w:pPr>
      <w:r>
        <w:t xml:space="preserve">Prior related work</w:t>
      </w:r>
    </w:p>
    <w:p>
      <w:pPr>
        <w:pStyle w:val="BodyText"/>
      </w:pPr>
      <w:r>
        <w:t xml:space="preserve">Importance of predicting when and why someone is at risk</w:t>
      </w:r>
    </w:p>
    <w:p>
      <w:pPr>
        <w:pStyle w:val="BodyText"/>
      </w:pPr>
      <w:r>
        <w:t xml:space="preserve">Aims of study</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into a single feature category. We plotted raw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76"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20.9</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92.6</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7"/>
      </w:r>
      <w:r>
        <w:t xml:space="preserve"> </w:t>
      </w:r>
      <w:r>
        <w:t xml:space="preserve">This model produced generally well-calibrated raw probabilities (brier score = 0.014). We attempted to improve calibration with Platt scaling and results were comparable (brier score = 0.014). A Calibration plot revealed that our raw model predictions were better aligned with observed lapse frequencies than the Platt-scaled scores across most of the probability range. At higher predicted probabilities, the model exhibited high-variance estimates and therefore poor calibration, driven by very few observations in those bins (only one prediction exceeded 0.6; left panel of</w:t>
      </w:r>
      <w:r>
        <w:t xml:space="preserve"> </w:t>
      </w:r>
      <w:hyperlink w:anchor="fig-2">
        <w:r>
          <w:rPr>
            <w:rStyle w:val="Hyperlink"/>
          </w:rPr>
          <w:t xml:space="preserve">Figure 2</w:t>
        </w:r>
      </w:hyperlink>
      <w:r>
        <w:t xml:space="preserve">).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 along the x-axis depicts observation frequency in each bin.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75" w:name="feature-importance-1"/>
    <w:p>
      <w:pPr>
        <w:pStyle w:val="Heading2"/>
      </w:pPr>
      <w:r>
        <w:t xml:space="preserve">Feature Importance</w:t>
      </w:r>
    </w:p>
    <w:p>
      <w:pPr>
        <w:pStyle w:val="FirstParagraph"/>
      </w:pPr>
      <w:r>
        <w:t xml:space="preserve">Feature importance values can also be aggregated across all participants and all observations to provide a relative rank ordering of the most important features. A traditional mean absolute Shapley value approach revealed the most important features (i.e., largest magnitude of contribution to the prediction) to be differences in past opioid use.</w:t>
      </w:r>
    </w:p>
    <w:p>
      <w:pPr>
        <w:pStyle w:val="BodyText"/>
      </w:pPr>
      <w:r>
        <w:t xml:space="preserve">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p>
      <w:pPr>
        <w:pStyle w:val="BodyText"/>
      </w:pPr>
      <w:r>
        <w:t xml:space="preserve">For brevity, we are only displaying the top 30 (out of 186) features, as defined by the 30 largest absolute mean shapley values. In the supplement, we provide full figures of all possible feature categories.</w:t>
      </w:r>
    </w:p>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bookmarkStart w:id="67" w:name="fig-3"/>
            <w:r>
              <w:drawing>
                <wp:inline>
                  <wp:extent cx="5334000" cy="3333749"/>
                  <wp:effectExtent b="0" l="0" r="0" t="0"/>
                  <wp:docPr descr="" title="" id="65" name="Picture"/>
                  <a:graphic>
                    <a:graphicData uri="http://schemas.openxmlformats.org/drawingml/2006/picture">
                      <pic:pic>
                        <pic:nvPicPr>
                          <pic:cNvPr descr="index_files/figure-docx/notebooks-mak_figures-fig-3-output-1.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bookmarkEnd w:id="67"/>
          </w:p>
          <w:p>
            <w:pPr>
              <w:jc w:val="center"/>
            </w:pPr>
            <w:pPr>
              <w:jc w:val="start"/>
              <w:spacing w:before="200"/>
              <w:pStyle w:val="ImageCaption"/>
            </w:pPr>
            <w:r>
              <w:t xml:space="preserve">Figure 3</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Figures</w:t>
        </w:r>
      </w:hyperlink>
    </w:p>
    <w:tbl>
      <w:tblPr>
        <w:tblStyle w:val="Table"/>
        <w:tblW w:type="pct" w:w="5000"/>
        <w:tblLayout w:type="fixed"/>
        <w:tblLook w:firstRow="0" w:lastRow="0" w:firstColumn="0" w:lastColumn="0" w:noHBand="0" w:noVBand="0" w:val="0000"/>
      </w:tblPr>
      <w:tblGrid>
        <w:gridCol w:w="7920"/>
      </w:tblGrid>
      <w:tr>
        <w:tc>
          <w:tcPr/>
          <w:bookmarkStart w:id="73" w:name="fig-4"/>
          <w:p>
            <w:pPr>
              <w:pStyle w:val="Compact"/>
              <w:jc w:val="center"/>
            </w:pPr>
            <w:r>
              <w:drawing>
                <wp:inline>
                  <wp:extent cx="5334000" cy="7467600"/>
                  <wp:effectExtent b="0" l="0" r="0" t="0"/>
                  <wp:docPr descr="" title="" id="71" name="Picture"/>
                  <a:graphic>
                    <a:graphicData uri="http://schemas.openxmlformats.org/drawingml/2006/picture">
                      <pic:pic>
                        <pic:nvPicPr>
                          <pic:cNvPr descr="index_files/figure-docx/notebooks-mak_figures-fig-4-output-1.png" id="72" name="Picture"/>
                          <pic:cNvPicPr>
                            <a:picLocks noChangeArrowheads="1" noChangeAspect="1"/>
                          </pic:cNvPicPr>
                        </pic:nvPicPr>
                        <pic:blipFill>
                          <a:blip r:embed="rId7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Figures</w:t>
        </w:r>
      </w:hyperlink>
    </w:p>
    <w:bookmarkEnd w:id="75"/>
    <w:bookmarkEnd w:id="76"/>
    <w:bookmarkStart w:id="77" w:name="discussion"/>
    <w:p>
      <w:pPr>
        <w:pStyle w:val="Heading1"/>
      </w:pPr>
      <w:r>
        <w:t xml:space="preserve">Discussion</w:t>
      </w:r>
    </w:p>
    <w:p>
      <w:pPr>
        <w:numPr>
          <w:ilvl w:val="0"/>
          <w:numId w:val="1003"/>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3"/>
        </w:numPr>
      </w:pPr>
      <w:r>
        <w:t xml:space="preserve">day of prediction window not important for oud but important for aud (add supplemental figure of lapses by day of week and hour?)</w:t>
      </w:r>
    </w:p>
    <w:p>
      <w:pPr>
        <w:numPr>
          <w:ilvl w:val="0"/>
          <w:numId w:val="1003"/>
        </w:numPr>
      </w:pPr>
      <w:r>
        <w:t xml:space="preserve">When discussing fairness - we don’t look at age. People over 65 is an important group to look at but they were not in our sample</w:t>
      </w:r>
    </w:p>
    <w:p>
      <w:pPr>
        <w:numPr>
          <w:ilvl w:val="0"/>
          <w:numId w:val="1003"/>
        </w:numPr>
      </w:pPr>
      <w:r>
        <w:t xml:space="preserve">Acknowledge fairness differences still exist. Research should look into additional risk factors that may better predict risk of lapse in minority populations.</w:t>
      </w:r>
    </w:p>
    <w:p>
      <w:pPr>
        <w:numPr>
          <w:ilvl w:val="0"/>
          <w:numId w:val="1003"/>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p>
      <w:pPr>
        <w:numPr>
          <w:ilvl w:val="0"/>
          <w:numId w:val="1003"/>
        </w:numPr>
      </w:pPr>
      <w:r>
        <w:t xml:space="preserve">Although, classification and clinical utility are two other important domains for evaluating a model intended to make or inform a decision (e.g., whether to send a support message to an individual). In applications of our model there would be no decision to be made. Every day an individual would receive a message regardless of their lapse risk, equivalent to a treat all condition. Therefore, we have constrained our evaluation to focus on the probability estimates for evaluating performance.</w:t>
      </w:r>
      <w:r>
        <w:t xml:space="preserve"> </w:t>
      </w:r>
    </w:p>
    <w:p>
      <w:pPr>
        <w:numPr>
          <w:ilvl w:val="0"/>
          <w:numId w:val="1003"/>
        </w:numPr>
      </w:pPr>
      <w:r>
        <w:t xml:space="preserve">Optimal thresholds depend on the setting, outcome prevalence, and the relative costs of misclassification, and should be addressed separately from discrimination evaluation (e.g., with a decision curve analysis).</w:t>
      </w:r>
      <w:r>
        <w:t xml:space="preserve"> </w:t>
      </w:r>
    </w:p>
    <w:p>
      <w:pPr>
        <w:numPr>
          <w:ilvl w:val="0"/>
          <w:numId w:val="1003"/>
        </w:numPr>
      </w:pPr>
      <w:r>
        <w:t xml:space="preserve">Discussion about GPS data. No evidence that geolocation offered incremental predictive value. Hard to get. With better sensing features could be more important. 12% of gps features were imputed as median. Low leverage for predictions.</w:t>
      </w:r>
    </w:p>
    <w:p>
      <w:pPr>
        <w:numPr>
          <w:ilvl w:val="0"/>
          <w:numId w:val="1003"/>
        </w:numPr>
      </w:pPr>
      <w:r>
        <w:t xml:space="preserve">Daily surveys remain to be a feasible and predictive signal even when measured over a year.</w:t>
      </w:r>
    </w:p>
    <w:bookmarkEnd w:id="77"/>
    <w:bookmarkStart w:id="113" w:name="references"/>
    <w:p>
      <w:pPr>
        <w:pStyle w:val="Heading1"/>
      </w:pPr>
      <w:r>
        <w:t xml:space="preserve">References</w:t>
      </w:r>
    </w:p>
    <w:bookmarkStart w:id="112" w:name="refs"/>
    <w:bookmarkStart w:id="78"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8"/>
    <w:bookmarkStart w:id="8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9">
        <w:r>
          <w:rPr>
            <w:rStyle w:val="Hyperlink"/>
          </w:rPr>
          <w:t xml:space="preserve">https://doi.org/10.21231/GNT1-HW21</w:t>
        </w:r>
      </w:hyperlink>
    </w:p>
    <w:bookmarkEnd w:id="80"/>
    <w:bookmarkStart w:id="8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1">
        <w:r>
          <w:rPr>
            <w:rStyle w:val="Hyperlink"/>
          </w:rPr>
          <w:t xml:space="preserve">https://doi.org/10.1136/bmj-2023-078378</w:t>
        </w:r>
      </w:hyperlink>
    </w:p>
    <w:bookmarkEnd w:id="82"/>
    <w:bookmarkStart w:id="83"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3"/>
    <w:bookmarkStart w:id="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4"/>
    <w:bookmarkStart w:id="86"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5">
        <w:r>
          <w:rPr>
            <w:rStyle w:val="Hyperlink"/>
          </w:rPr>
          <w:t xml:space="preserve">https://doi.org/10.1016/j.drugalcdep.2006.05.012</w:t>
        </w:r>
      </w:hyperlink>
    </w:p>
    <w:bookmarkEnd w:id="86"/>
    <w:bookmarkStart w:id="88"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7">
        <w:r>
          <w:rPr>
            <w:rStyle w:val="Hyperlink"/>
          </w:rPr>
          <w:t xml:space="preserve">https://doi.org/10.1001/jamapsychiatry.2013.4642</w:t>
        </w:r>
      </w:hyperlink>
    </w:p>
    <w:bookmarkEnd w:id="88"/>
    <w:bookmarkStart w:id="8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89"/>
    <w:bookmarkStart w:id="91"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90">
        <w:r>
          <w:rPr>
            <w:rStyle w:val="Hyperlink"/>
          </w:rPr>
          <w:t xml:space="preserve">https://doi.org/10.1001/jamanetworkopen.2020.5852</w:t>
        </w:r>
      </w:hyperlink>
    </w:p>
    <w:bookmarkEnd w:id="91"/>
    <w:bookmarkStart w:id="92"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2"/>
    <w:bookmarkStart w:id="93"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93"/>
    <w:bookmarkStart w:id="9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94">
        <w:r>
          <w:rPr>
            <w:rStyle w:val="Hyperlink"/>
          </w:rPr>
          <w:t xml:space="preserve">https://doi.org/10.1111/jrh.70076</w:t>
        </w:r>
      </w:hyperlink>
    </w:p>
    <w:bookmarkEnd w:id="95"/>
    <w:bookmarkStart w:id="9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96"/>
    <w:bookmarkStart w:id="98"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t xml:space="preserve">,</w:t>
      </w:r>
      <w:r>
        <w:t xml:space="preserve"> </w:t>
      </w:r>
      <w:r>
        <w:rPr>
          <w:i/>
          <w:iCs/>
        </w:rPr>
        <w:t xml:space="preserve">137</w:t>
      </w:r>
      <w:r>
        <w:t xml:space="preserve">(5), 955–963.</w:t>
      </w:r>
      <w:r>
        <w:t xml:space="preserve"> </w:t>
      </w:r>
      <w:hyperlink r:id="rId97">
        <w:r>
          <w:rPr>
            <w:rStyle w:val="Hyperlink"/>
          </w:rPr>
          <w:t xml:space="preserve">https://doi.org/10.1177/00333549211041554</w:t>
        </w:r>
      </w:hyperlink>
    </w:p>
    <w:bookmarkEnd w:id="98"/>
    <w:bookmarkStart w:id="10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99">
        <w:r>
          <w:rPr>
            <w:rStyle w:val="Hyperlink"/>
          </w:rPr>
          <w:t xml:space="preserve">https://doi.org/10.2196/29563</w:t>
        </w:r>
      </w:hyperlink>
    </w:p>
    <w:bookmarkEnd w:id="100"/>
    <w:bookmarkStart w:id="102"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01">
        <w:r>
          <w:rPr>
            <w:rStyle w:val="Hyperlink"/>
          </w:rPr>
          <w:t xml:space="preserve">https://doi.org/10.1016/j.jsat.2021.108710</w:t>
        </w:r>
      </w:hyperlink>
    </w:p>
    <w:bookmarkEnd w:id="102"/>
    <w:bookmarkStart w:id="104"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03">
        <w:r>
          <w:rPr>
            <w:rStyle w:val="Hyperlink"/>
          </w:rPr>
          <w:t xml:space="preserve">https://doi.org/10.1016/j.drugalcdep.2019.05.017</w:t>
        </w:r>
      </w:hyperlink>
    </w:p>
    <w:bookmarkEnd w:id="104"/>
    <w:bookmarkStart w:id="105"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05"/>
    <w:bookmarkStart w:id="10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06">
        <w:r>
          <w:rPr>
            <w:rStyle w:val="Hyperlink"/>
          </w:rPr>
          <w:t xml:space="preserve">https://doi.org/10.1016/j.landig.2025.100916</w:t>
        </w:r>
      </w:hyperlink>
    </w:p>
    <w:bookmarkEnd w:id="107"/>
    <w:bookmarkStart w:id="109"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08">
        <w:r>
          <w:rPr>
            <w:rStyle w:val="Hyperlink"/>
          </w:rPr>
          <w:t xml:space="preserve">https://doi.org/10.1016/j.artmed.2020.101987</w:t>
        </w:r>
      </w:hyperlink>
    </w:p>
    <w:bookmarkEnd w:id="109"/>
    <w:bookmarkStart w:id="111"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10">
        <w:r>
          <w:rPr>
            <w:rStyle w:val="Hyperlink"/>
          </w:rPr>
          <w:t xml:space="preserve">https://doi.org/10.1080/17441692.2023.2277854</w:t>
        </w:r>
      </w:hyperlink>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2026-03-11T00:14:21Z</dcterms:created>
  <dcterms:modified xsi:type="dcterms:W3CDTF">2026-03-11T00:14:21Z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2026-03-10</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