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2025-12-29</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made available in this manuscripts supplemental materials. Finally,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 changes made to the pre-registered report as follows:</w:t>
      </w:r>
    </w:p>
    <w:p>
      <w:pPr>
        <w:numPr>
          <w:ilvl w:val="0"/>
          <w:numId w:val="1001"/>
        </w:numPr>
      </w:pPr>
      <w:r>
        <w:t xml:space="preserve">Feature sets. 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prior personal sensing work on alcohol use disorder by our group, technological constraints, and the need to balance feature diversity for capturing lapse complexity and minimizing participant burden. 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 [</w:t>
      </w:r>
      <w:r>
        <w:t xml:space="preserve">]. Moreover, due to Apple’s strict restrictions on app access to communications, these data could only be collected from Android users. Thus, inclusion of these features would result in a model that could only be deployed within an android operating system. Daily video check-ins were only collected from the first handful of participants due to technical issues in the A-CHESS app. App usage data were sparse and unusable. This is likely due to us using a research version of the A-CHESS app not optimized for sustained engagement. Self-report measures can dramatically increase burden on the individual providing data. Monthly surveys were lengthy (20–30 minutes) and, based on prior work with alcohol use disorder, add no incremental predictive value beyond sensing data. However, individual differences in severity of use and stability of recovery at the time of intake have shown predictive signal [ndividual differences in severity of use and stability of recovery at the time of intake has]. We also retained key demographic variables known to influence treatment access and clinical outcomes</w:t>
      </w:r>
      <w:r>
        <w:t xml:space="preserve">.</w:t>
      </w:r>
    </w:p>
    <w:p>
      <w:pPr>
        <w:numPr>
          <w:ilvl w:val="0"/>
          <w:numId w:val="1001"/>
        </w:numPr>
      </w:pPr>
      <w:r>
        <w:t xml:space="preserve">Resampling method. Our protocol proposed repeated cross-validation for model selection and a single held-out test set for evaluation. Although we nearly reached our recruitment goal (N = 451/480), the number of participants with usable data was lower (N = 300). To maximize data use, we eliminated the held-out test set and relied on repeated cross-validation. We believe 6 repeats of cross-validation sufficiently mitigate optimization bias and provide generalizable performance estimates</w:t>
      </w:r>
      <w:r>
        <w:t xml:space="preserve">.</w:t>
      </w:r>
    </w:p>
    <w:bookmarkEnd w:id="23"/>
    <w:bookmarkStart w:id="25" w:name="participants"/>
    <w:p>
      <w:pPr>
        <w:pStyle w:val="Heading2"/>
      </w:pPr>
      <w:r>
        <w:t xml:space="preserve">Participants</w:t>
      </w:r>
    </w:p>
    <w:p>
      <w:pPr>
        <w:pStyle w:val="FirstParagraph"/>
      </w:pPr>
      <w:r>
        <w:t xml:space="preserve">We nationally recruited 451 participants in early recovery from opioid use disorder receiving medication for opioid use disorder (MOUD) in the United States. We recruited through national digital advertising and collaborations with treatment providers at MOUD clinics. Our recruitment strategy was designed to create a diverse sample with respect to demographics (sex, age, race, and ethnicity), and geographic location (urban, suburban, and rural residence). We required participants:</w:t>
      </w:r>
    </w:p>
    <w:p>
      <w:pPr>
        <w:pStyle w:val="Compact"/>
        <w:numPr>
          <w:ilvl w:val="0"/>
          <w:numId w:val="1002"/>
        </w:numPr>
      </w:pPr>
      <w:r>
        <w:t xml:space="preserve">were age 18 or older,</w:t>
      </w:r>
    </w:p>
    <w:p>
      <w:pPr>
        <w:pStyle w:val="Compact"/>
        <w:numPr>
          <w:ilvl w:val="0"/>
          <w:numId w:val="1002"/>
        </w:numPr>
      </w:pPr>
      <w:r>
        <w:t xml:space="preserve">were fluent English speakers,</w:t>
      </w:r>
    </w:p>
    <w:p>
      <w:pPr>
        <w:pStyle w:val="Compact"/>
        <w:numPr>
          <w:ilvl w:val="0"/>
          <w:numId w:val="1002"/>
        </w:numPr>
      </w:pPr>
      <w:r>
        <w:t xml:space="preserve">were enrolled in and adherent with an MOUD program for at least 1 month but no longer than 12 months</w:t>
      </w:r>
      <w:r>
        <w:rPr>
          <w:rStyle w:val="FootnoteReference"/>
        </w:rPr>
        <w:footnoteReference w:id="24"/>
      </w:r>
      <w:r>
        <w:t xml:space="preserve">,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disorders or other psychopathologic conditions.</w:t>
      </w:r>
    </w:p>
    <w:bookmarkEnd w:id="25"/>
    <w:bookmarkStart w:id="26" w:name="procedure"/>
    <w:p>
      <w:pPr>
        <w:pStyle w:val="Heading2"/>
      </w:pPr>
      <w:r>
        <w:t xml:space="preserve">Procedure</w:t>
      </w:r>
    </w:p>
    <w:p>
      <w:pPr>
        <w:pStyle w:val="FirstParagraph"/>
      </w:pPr>
      <w:r>
        <w:t xml:space="preserve">All procedures were approved by the University of Wisconsin-Madison Institutional Review Board (Study #2019-0656). All participants provided written</w:t>
      </w:r>
      <w:r>
        <w:t xml:space="preserve"> </w:t>
      </w:r>
      <w:r>
        <w:t xml:space="preserve">informed consent.</w:t>
      </w:r>
    </w:p>
    <w:bookmarkEnd w:id="26"/>
    <w:bookmarkStart w:id="27" w:name="a-chess"/>
    <w:p>
      <w:pPr>
        <w:pStyle w:val="Heading2"/>
      </w:pPr>
      <w:r>
        <w:t xml:space="preserve">A-CHESS</w:t>
      </w:r>
    </w:p>
    <w:bookmarkEnd w:id="27"/>
    <w:bookmarkStart w:id="31" w:name="measures"/>
    <w:p>
      <w:pPr>
        <w:pStyle w:val="Heading2"/>
      </w:pPr>
      <w:r>
        <w:t xml:space="preserve">Measures</w:t>
      </w:r>
    </w:p>
    <w:bookmarkStart w:id="28" w:name="individual-differences"/>
    <w:p>
      <w:pPr>
        <w:pStyle w:val="Heading3"/>
      </w:pPr>
      <w:r>
        <w:t xml:space="preserve">Individual Differences</w:t>
      </w:r>
    </w:p>
    <w:bookmarkEnd w:id="28"/>
    <w:bookmarkStart w:id="29" w:name="ecological-momentary-assessment"/>
    <w:p>
      <w:pPr>
        <w:pStyle w:val="Heading3"/>
      </w:pPr>
      <w:r>
        <w:t xml:space="preserve">Ecological Momentary Assessment</w:t>
      </w:r>
    </w:p>
    <w:bookmarkEnd w:id="29"/>
    <w:bookmarkStart w:id="30" w:name="geolocation-sensing"/>
    <w:p>
      <w:pPr>
        <w:pStyle w:val="Heading3"/>
      </w:pPr>
      <w:r>
        <w:t xml:space="preserve">Geolocation Sensing</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engineered from two types of data:</w:t>
      </w:r>
    </w:p>
    <w:p>
      <w:pPr>
        <w:numPr>
          <w:ilvl w:val="0"/>
          <w:numId w:val="1003"/>
        </w:numPr>
      </w:pPr>
      <w:r>
        <w:t xml:space="preserve">Static individual differences in demographic and OUD characteristics.</w:t>
      </w:r>
    </w:p>
    <w:p>
      <w:pPr>
        <w:numPr>
          <w:ilvl w:val="0"/>
          <w:numId w:val="1003"/>
        </w:numPr>
      </w:pPr>
      <w:r>
        <w:t xml:space="preserve">Dynamic EMA and geolocation sensing data.</w:t>
      </w:r>
    </w:p>
    <w:p>
      <w:pPr>
        <w:pStyle w:val="Compact"/>
        <w:numPr>
          <w:ilvl w:val="0"/>
          <w:numId w:val="1004"/>
        </w:numPr>
      </w:pPr>
      <w:r>
        <w:t xml:space="preserve">geolocation - within 50 meters of a known location</w:t>
      </w:r>
    </w:p>
    <w:p>
      <w:pPr>
        <w:pStyle w:val="FirstParagraph"/>
      </w:pPr>
      <w:r>
        <w:t xml:space="preserve">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r>
        <w:t xml:space="preserve"> </w:t>
      </w:r>
    </w:p>
    <w:bookmarkEnd w:id="32"/>
    <w:bookmarkStart w:id="33" w:name="prediction-windows-and-labels"/>
    <w:p>
      <w:pPr>
        <w:pStyle w:val="Heading3"/>
      </w:pPr>
      <w:r>
        <w:t xml:space="preserve">Prediction Windows and Labels</w:t>
      </w:r>
    </w:p>
    <w:p>
      <w:pPr>
        <w:pStyle w:val="Compact"/>
        <w:numPr>
          <w:ilvl w:val="0"/>
          <w:numId w:val="1005"/>
        </w:numPr>
      </w:pPr>
      <w:r>
        <w:t xml:space="preserve">Window starts 6am in participants own timezone (derived from gps)</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6"/>
        </w:numPr>
      </w:pPr>
      <w:r>
        <w:t xml:space="preserve">Statistical algorithm (and hyperparameter tuning)</w:t>
      </w:r>
    </w:p>
    <w:p>
      <w:pPr>
        <w:numPr>
          <w:ilvl w:val="0"/>
          <w:numId w:val="1006"/>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7"/>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8"/>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8"/>
        </w:numPr>
      </w:pPr>
      <w:r>
        <w:t xml:space="preserve">When discussing fairness - we don’t look at age. People over 65 is an important group to look at but they were not in our sample</w:t>
      </w:r>
    </w:p>
    <w:p>
      <w:pPr>
        <w:numPr>
          <w:ilvl w:val="0"/>
          <w:numId w:val="1008"/>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3" w:name="references"/>
    <w:p>
      <w:pPr>
        <w:pStyle w:val="Heading1"/>
      </w:pPr>
      <w:r>
        <w:t xml:space="preserve">References</w:t>
      </w:r>
    </w:p>
    <w:bookmarkStart w:id="82" w:name="refs"/>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2"/>
    <w:bookmarkStart w:id="7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3"/>
    <w:bookmarkStart w:id="74"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4"/>
    <w:bookmarkStart w:id="7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5">
        <w:r>
          <w:rPr>
            <w:rStyle w:val="Hyperlink"/>
          </w:rPr>
          <w:t xml:space="preserve">https://doi.org/10.2196/29563</w:t>
        </w:r>
      </w:hyperlink>
    </w:p>
    <w:bookmarkEnd w:id="76"/>
    <w:bookmarkStart w:id="78"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77">
        <w:r>
          <w:rPr>
            <w:rStyle w:val="Hyperlink"/>
          </w:rPr>
          <w:t xml:space="preserve">https://doi.org/10.1016/j.artmed.2020.101987</w:t>
        </w:r>
      </w:hyperlink>
    </w:p>
    <w:bookmarkEnd w:id="78"/>
    <w:bookmarkStart w:id="79"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9"/>
    <w:bookmarkStart w:id="8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0">
        <w:r>
          <w:rPr>
            <w:rStyle w:val="Hyperlink"/>
          </w:rPr>
          <w:t xml:space="preserve">https://doi.org/10.31234/osf.io/cgsf7</w:t>
        </w:r>
      </w:hyperlink>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Adherence was defined as taking their monthly MOUD medication regularly or daily MOUD medication on most days or every day.</w:t>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77" Target="https://doi.org/10.1016/j.artmed.2020.101987" TargetMode="External" /><Relationship Type="http://schemas.openxmlformats.org/officeDocument/2006/relationships/hyperlink" Id="rId70" Target="https://doi.org/10.1136/bmj-2023-078378" TargetMode="External" /><Relationship Type="http://schemas.openxmlformats.org/officeDocument/2006/relationships/hyperlink" Id="rId68" Target="https://doi.org/10.21231/GNT1-HW21" TargetMode="External" /><Relationship Type="http://schemas.openxmlformats.org/officeDocument/2006/relationships/hyperlink" Id="rId75" Target="https://doi.org/10.2196/29563" TargetMode="External" /><Relationship Type="http://schemas.openxmlformats.org/officeDocument/2006/relationships/hyperlink" Id="rId80"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16/j.artmed.2020.101987" TargetMode="External" /><Relationship Type="http://schemas.openxmlformats.org/officeDocument/2006/relationships/hyperlink" Id="rId70" Target="https://doi.org/10.1136/bmj-2023-078378" TargetMode="External" /><Relationship Type="http://schemas.openxmlformats.org/officeDocument/2006/relationships/hyperlink" Id="rId68" Target="https://doi.org/10.21231/GNT1-HW21" TargetMode="External" /><Relationship Type="http://schemas.openxmlformats.org/officeDocument/2006/relationships/hyperlink" Id="rId75" Target="https://doi.org/10.2196/29563" TargetMode="External" /><Relationship Type="http://schemas.openxmlformats.org/officeDocument/2006/relationships/hyperlink" Id="rId80"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2025-12-29T17:22:34Z</dcterms:created>
  <dcterms:modified xsi:type="dcterms:W3CDTF">2025-12-29T17:22:34Z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2025-12-29</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