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2025-12-30</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0"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relied on repetitions in our cross-validation to mitigate optimization bias and provide generalizable performance estimates (i.e., 6 repeats of 5-fold cross-validation to generate 30 held-out test sets).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Features were engineered from three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and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features of location variance (i.e., the extent to which a participant’s location changes over a scoring epoch).</w:t>
      </w:r>
    </w:p>
    <w:p>
      <w:pPr>
        <w:pStyle w:val="FirstParagraph"/>
      </w:pPr>
      <w:r>
        <w:t xml:space="preserve">All features (sets 1-3 above) were included in our full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configurations"/>
    <w:p>
      <w:pPr>
        <w:pStyle w:val="Heading3"/>
      </w:pPr>
      <w:r>
        <w:t xml:space="preserve">Model Configurations</w:t>
      </w:r>
    </w:p>
    <w:p>
      <w:pPr>
        <w:pStyle w:val="FirstParagraph"/>
      </w:pPr>
      <w:r>
        <w:t xml:space="preserve">Candidate model configurations differed on statistical algorithm, hyperparameter values, resampling of outcome, and feature set. We considered five statistical algorithms that differed in terms of assumptions and bias-variance tradeoff: elastic net, random forest, XGBoost, a single-layer neural network, and a support vector machine</w:t>
      </w:r>
      <w:r>
        <w:t xml:space="preserve">. Configurations differed across sensible values for key hyperparameters. Configurations also differed on outcome resampling method (i.e., up-sampling and down-sampling of the outcome at ratios ranging from 5:1 to 1:1). All resampling was exclusively done in the held-in training data (i.e., test data was not resampled) to prevent biasing performance estimates</w:t>
      </w:r>
      <w:r>
        <w:t xml:space="preserve"> </w:t>
      </w:r>
      <w:r>
        <w:t xml:space="preserve">(Vandewiele et al., 2021)</w:t>
      </w:r>
      <w:r>
        <w:t xml:space="preserve">. Lastly, configurations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EMA and geolocation features).</w:t>
      </w:r>
    </w:p>
    <w:p>
      <w:pPr>
        <w:pStyle w:val="BodyText"/>
      </w:pPr>
      <w:r>
        <w:t xml:space="preserve">The best full and baseline model configurations were selected using 6 repeats of participant-grouped 5-fold cross-validation. Grouped cross-validation assigns all data from a participant as either held-in or held-out to avoid bias introduced when predicting a participant’s data from their own data. Folds were stratified by a between-subject measure of our outcome (no lapse vs. any lapse).</w:t>
      </w:r>
    </w:p>
    <w:bookmarkEnd w:id="34"/>
    <w:bookmarkStart w:id="37"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our scenario there is no decision to be made. Hypothetically, every day an individual would receive a message regardless of lapse risk, equivalent to a treat all condition. Therefore, we have constrained our evaluation to focus on the probability estimates for evaluating performance.</w:t>
      </w:r>
    </w:p>
    <w:bookmarkStart w:id="35"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4"/>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5"/>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and-overall-performance"/>
    <w:p>
      <w:pPr>
        <w:pStyle w:val="Heading4"/>
      </w:pPr>
      <w:r>
        <w:t xml:space="preserve">Calibration and Overall Performance</w:t>
      </w:r>
    </w:p>
    <w:p>
      <w:pPr>
        <w:pStyle w:val="FirstParagraph"/>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6"/>
    <w:bookmarkEnd w:id="37"/>
    <w:bookmarkStart w:id="38" w:name="feature-importance"/>
    <w:p>
      <w:pPr>
        <w:pStyle w:val="Heading3"/>
      </w:pPr>
      <w:r>
        <w:t xml:space="preserve">Feature Importance</w:t>
      </w:r>
    </w:p>
    <w:bookmarkEnd w:id="38"/>
    <w:bookmarkEnd w:id="39"/>
    <w:bookmarkEnd w:id="40"/>
    <w:bookmarkStart w:id="67" w:name="results"/>
    <w:p>
      <w:pPr>
        <w:pStyle w:val="Heading1"/>
      </w:pPr>
      <w:r>
        <w:t xml:space="preserve">Results</w:t>
      </w:r>
    </w:p>
    <w:bookmarkStart w:id="44"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1"/>
      </w:r>
      <w:r>
        <w:t xml:space="preserve">, 13 participants were excluded due to insufficient context data for geolocation points</w:t>
      </w:r>
      <w:r>
        <w:rPr>
          <w:rStyle w:val="FootnoteReference"/>
        </w:rPr>
        <w:footnoteReference w:id="42"/>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3"/>
          <w:p/>
        </w:tc>
      </w:tr>
    </w:tbl>
    <w:bookmarkEnd w:id="44"/>
    <w:bookmarkStart w:id="45"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5"/>
    <w:bookmarkStart w:id="51"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t xml:space="preserve">.</w:t>
      </w:r>
      <w:r>
        <w:rPr>
          <w:rStyle w:val="FootnoteReference"/>
        </w:rPr>
        <w:footnoteReference w:id="46"/>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EMA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334000" cy="3809999"/>
                  <wp:effectExtent b="0" l="0" r="0" t="0"/>
                  <wp:docPr descr="" title="" id="48" name="Picture"/>
                  <a:graphic>
                    <a:graphicData uri="http://schemas.openxmlformats.org/drawingml/2006/picture">
                      <pic:pic>
                        <pic:nvPicPr>
                          <pic:cNvPr descr="index_files/figure-docx/notebooks-mak_figures-fig-1-output-1.png" id="49" name="Picture"/>
                          <pic:cNvPicPr>
                            <a:picLocks noChangeArrowheads="1" noChangeAspect="1"/>
                          </pic:cNvPicPr>
                        </pic:nvPicPr>
                        <pic:blipFill>
                          <a:blip r:embed="rId4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0"/>
        </w:tc>
      </w:tr>
    </w:tbl>
    <w:bookmarkEnd w:id="51"/>
    <w:bookmarkStart w:id="56" w:name="calibration-and-overall-performance-1"/>
    <w:p>
      <w:pPr>
        <w:pStyle w:val="Heading2"/>
      </w:pPr>
      <w:r>
        <w:t xml:space="preserve">Calibration and Overall Performance</w:t>
      </w:r>
    </w:p>
    <w:p>
      <w:pPr>
        <w:pStyle w:val="FirstParagraph"/>
      </w:pPr>
      <w:r>
        <w:t xml:space="preserve">The full model produced well-calibrated raw probabilities (brier score = 0.015) indicating that predicted probabilities generally matched the observed lapse rates. We attempted to improve calibration with Platt scaling but results were comparable (brier score = 0.015). A Calibration plot of the raw and calibrated probabilities and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333375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5"/>
        </w:tc>
      </w:tr>
    </w:tbl>
    <w:bookmarkEnd w:id="56"/>
    <w:bookmarkStart w:id="66"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bookmarkStart w:id="60" w:name="fig-3"/>
            <w:r>
              <w:drawing>
                <wp:inline>
                  <wp:extent cx="5334000" cy="3333750"/>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bookmarkEnd w:id="60"/>
          </w:p>
          <w:p>
            <w:pPr>
              <w:jc w:val="center"/>
            </w:pPr>
            <w:pPr>
              <w:jc w:val="start"/>
              <w:spacing w:before="200"/>
              <w:pStyle w:val="ImageCaption"/>
            </w:pPr>
            <w:r>
              <w:t xml:space="preserve">Figure 3</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5"/>
        </w:tc>
      </w:tr>
    </w:tbl>
    <w:bookmarkEnd w:id="66"/>
    <w:bookmarkEnd w:id="67"/>
    <w:bookmarkStart w:id="68" w:name="discussion"/>
    <w:p>
      <w:pPr>
        <w:pStyle w:val="Heading1"/>
      </w:pPr>
      <w:r>
        <w:t xml:space="preserve">Discussion</w:t>
      </w:r>
    </w:p>
    <w:p>
      <w:pPr>
        <w:numPr>
          <w:ilvl w:val="0"/>
          <w:numId w:val="1006"/>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6"/>
        </w:numPr>
      </w:pPr>
      <w:r>
        <w:t xml:space="preserve">When discussing fairness - we don’t look at age. People over 65 is an important group to look at but they were not in our sample</w:t>
      </w:r>
    </w:p>
    <w:p>
      <w:pPr>
        <w:numPr>
          <w:ilvl w:val="0"/>
          <w:numId w:val="1006"/>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8"/>
    <w:bookmarkStart w:id="90" w:name="references"/>
    <w:p>
      <w:pPr>
        <w:pStyle w:val="Heading1"/>
      </w:pPr>
      <w:r>
        <w:t xml:space="preserve">References</w:t>
      </w:r>
    </w:p>
    <w:bookmarkStart w:id="89" w:name="refs"/>
    <w:bookmarkStart w:id="69"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9"/>
    <w:bookmarkStart w:id="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0">
        <w:r>
          <w:rPr>
            <w:rStyle w:val="Hyperlink"/>
          </w:rPr>
          <w:t xml:space="preserve">https://doi.org/10.21231/GNT1-HW21</w:t>
        </w:r>
      </w:hyperlink>
    </w:p>
    <w:bookmarkEnd w:id="71"/>
    <w:bookmarkStart w:id="7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2">
        <w:r>
          <w:rPr>
            <w:rStyle w:val="Hyperlink"/>
          </w:rPr>
          <w:t xml:space="preserve">https://doi.org/10.1136/bmj-2023-078378</w:t>
        </w:r>
      </w:hyperlink>
    </w:p>
    <w:bookmarkEnd w:id="73"/>
    <w:bookmarkStart w:id="7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4"/>
    <w:bookmarkStart w:id="7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5"/>
    <w:bookmarkStart w:id="7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6"/>
    <w:bookmarkStart w:id="78"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7">
        <w:r>
          <w:rPr>
            <w:rStyle w:val="Hyperlink"/>
          </w:rPr>
          <w:t xml:space="preserve">https://doi.org/10.1097/00005650-198601000-00007</w:t>
        </w:r>
      </w:hyperlink>
    </w:p>
    <w:bookmarkEnd w:id="78"/>
    <w:bookmarkStart w:id="8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9">
        <w:r>
          <w:rPr>
            <w:rStyle w:val="Hyperlink"/>
          </w:rPr>
          <w:t xml:space="preserve">https://doi.org/10.2196/29563</w:t>
        </w:r>
      </w:hyperlink>
    </w:p>
    <w:bookmarkEnd w:id="80"/>
    <w:bookmarkStart w:id="81"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81"/>
    <w:bookmarkStart w:id="8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82">
        <w:r>
          <w:rPr>
            <w:rStyle w:val="Hyperlink"/>
          </w:rPr>
          <w:t xml:space="preserve">https://doi.org/10.1016/j.landig.2025.100916</w:t>
        </w:r>
      </w:hyperlink>
    </w:p>
    <w:bookmarkEnd w:id="83"/>
    <w:bookmarkStart w:id="8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4">
        <w:r>
          <w:rPr>
            <w:rStyle w:val="Hyperlink"/>
          </w:rPr>
          <w:t xml:space="preserve">https://doi.org/10.1016/j.artmed.2020.101987</w:t>
        </w:r>
      </w:hyperlink>
    </w:p>
    <w:bookmarkEnd w:id="85"/>
    <w:bookmarkStart w:id="86"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6"/>
    <w:bookmarkStart w:id="88"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7">
        <w:r>
          <w:rPr>
            <w:rStyle w:val="Hyperlink"/>
          </w:rPr>
          <w:t xml:space="preserve">https://doi.org/10.31234/osf.io/cgsf7</w:t>
        </w:r>
      </w:hyperlink>
    </w:p>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2">
    <w:p>
      <w:pPr>
        <w:pStyle w:val="FootnoteText"/>
      </w:pPr>
      <w:r>
        <w:rPr>
          <w:rStyle w:val="FootnoteReference"/>
        </w:rPr>
        <w:footnoteRef/>
      </w:r>
      <w:r>
        <w:t xml:space="preserve"> </w:t>
      </w:r>
      <w:r>
        <w:t xml:space="preserve">We required participants have at least two contextualized locations other than their home.</w:t>
      </w:r>
    </w:p>
  </w:footnote>
  <w:footnote w:id="46">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84" Target="https://doi.org/10.1016/j.artmed.2020.101987" TargetMode="External" /><Relationship Type="http://schemas.openxmlformats.org/officeDocument/2006/relationships/hyperlink" Id="rId82" Target="https://doi.org/10.1016/j.landig.2025.100916" TargetMode="External" /><Relationship Type="http://schemas.openxmlformats.org/officeDocument/2006/relationships/hyperlink" Id="rId77"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70" Target="https://doi.org/10.21231/GNT1-HW21" TargetMode="External" /><Relationship Type="http://schemas.openxmlformats.org/officeDocument/2006/relationships/hyperlink" Id="rId79" Target="https://doi.org/10.2196/29563" TargetMode="External" /><Relationship Type="http://schemas.openxmlformats.org/officeDocument/2006/relationships/hyperlink" Id="rId87"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16/j.artmed.2020.101987" TargetMode="External" /><Relationship Type="http://schemas.openxmlformats.org/officeDocument/2006/relationships/hyperlink" Id="rId82" Target="https://doi.org/10.1016/j.landig.2025.100916" TargetMode="External" /><Relationship Type="http://schemas.openxmlformats.org/officeDocument/2006/relationships/hyperlink" Id="rId77"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70" Target="https://doi.org/10.21231/GNT1-HW21" TargetMode="External" /><Relationship Type="http://schemas.openxmlformats.org/officeDocument/2006/relationships/hyperlink" Id="rId79" Target="https://doi.org/10.2196/29563" TargetMode="External" /><Relationship Type="http://schemas.openxmlformats.org/officeDocument/2006/relationships/hyperlink" Id="rId87"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2025-12-31T00:26:20Z</dcterms:created>
  <dcterms:modified xsi:type="dcterms:W3CDTF">2025-12-31T00:26:20Z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2025-12-30</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