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7.png" ContentType="image/png"/>
  <Override PartName="/word/media/rId53.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2026-05-27</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OUD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the majority of individuals with OUD do not receive treatment.</w:t>
      </w:r>
    </w:p>
    <w:p>
      <w:pPr>
        <w:pStyle w:val="BodyText"/>
      </w:pPr>
      <w:r>
        <w:t xml:space="preserve">These low rates of treatment initiation are concerning, however, initiation alone is insufficient to achieve sustained recovery. Even among the minority who do initiate treatment, engagement is often brief and episodic. Lapses back to substance use and relapse (i.e., a full return to problematic use) are common, particularly in the absence of continued treatment engagement and recovery support.</w:t>
      </w:r>
      <w:r>
        <w:t xml:space="preserve"> </w:t>
      </w:r>
      <w:r>
        <w:t xml:space="preserve">As in other healthcare domains, disparities in access to treatment and positive treatment outcomes are observed among certain subgroups of individuals. Women, low-income individuals, rural residents, and older adults may more frequently experience barriers to treatment, including limited service availability, mobility or transportation challenges, psychiatric and medical comorbities, and social constraints (e.g., childcare responsibilities or lack of support)</w:t>
      </w:r>
      <w:r>
        <w:t xml:space="preserve"> </w:t>
      </w:r>
      <w:r>
        <w:t xml:space="preserve">(Greenfield et al., 2007; Kilaru et al., 2020; Lister et al., 2020; McHugh et al., 2018; Parlier-Ahmad et al., 2021; Sigmon, 2014; Wood et al., 2019)</w:t>
      </w:r>
      <w:r>
        <w:t xml:space="preserve">. Marginalized groups, such as racial, ethnic, and sexual minorities may additionally experience minority stress, stigma, discrimination, and isolation leading to higher rates of OUD and negative consequences from opioid use and overall poorer treatment outcomes</w:t>
      </w:r>
      <w:r>
        <w:t xml:space="preserve"> </w:t>
      </w:r>
      <w:r>
        <w:t xml:space="preserve">(Freitag et al., 2021; Guerrero et al., 2013; Kilaru et al., 2020; Pinedo, 2019; Saloner &amp; Lê Cook, 2013; Schmidt et al., 2007)</w:t>
      </w:r>
      <w:r>
        <w:t xml:space="preserve">.</w:t>
      </w:r>
    </w:p>
    <w:p>
      <w:pPr>
        <w:pStyle w:val="BodyText"/>
      </w:pPr>
      <w:r>
        <w:t xml:space="preserve">Opioid lapses are particularly high-risk events. Reduced opioid tolerance (e.g., after a period of abstinence) and the increasing prevalence of fentanyl and other synthetic opioids in the drug supply substantially increase the likelihood of fatal overdose. 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w:t>
      </w:r>
    </w:p>
    <w:p>
      <w:pPr>
        <w:pStyle w:val="BodyText"/>
      </w:pPr>
      <w:r>
        <w:t xml:space="preserve">However, OUD does not have a single set of putative precursors to relapse. Relapse risk factors differ across individuals and within individuals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that interact with one another and with relational and environmental situations to influence lapse risk</w:t>
      </w:r>
      <w:r>
        <w:t xml:space="preserve"> </w:t>
      </w:r>
      <w:r>
        <w:t xml:space="preserve">(Stanton, 2005; K. Witkiewitz &amp; Marlatt, 2004)</w:t>
      </w:r>
      <w:r>
        <w:t xml:space="preserve">. For a simple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p>
      <w:pPr>
        <w:pStyle w:val="BodyText"/>
      </w:pPr>
      <w:r>
        <w:t xml:space="preserve">An algorithm‑guided recovery monitoring and support system could help individuals monitor their lapse risk by automating the delivery of risk-relevant feedback (e.g., lapse risk and most important predictor for lapse). Advances in smartphone sensing methods offer a powerful way to collect densely sampled risk-relevant data that can be used as inputs into machine learning models to generate temporally precise predictions of lapse risk</w:t>
      </w:r>
      <w:r>
        <w:t xml:space="preserve"> </w:t>
      </w:r>
      <w:r>
        <w:t xml:space="preserve">(Heinz et al., 2025; Mohr et al., 2017; Wyant et al., 2024)</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OUD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Importantly, a monitoring system that performs fairly (i.e., the accuracy of the predictions and clinical benefit of the system is similar for everyone) could help mitigate pervasive discrepancies in the negative outcomes from OUD across certain subgroups. Because the system is automated, it could be implemented at relatively low‑cost and high scalability.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 from home.</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patients in early recovery from OUD receiving MOUD, ensuring that the study population closely reflected the intended clinical audience for our model. Fourth, we explicitly evaluated model performance across demographic subgroups to assess algorithmic fairness. Finally, we identified the most influential predictors using two complementary quantitative approaches, providing insight into the features that drive lapse risk predictions.</w:t>
      </w:r>
    </w:p>
    <w:bookmarkEnd w:id="10"/>
    <w:bookmarkStart w:id="31" w:name="methods"/>
    <w:p>
      <w:pPr>
        <w:pStyle w:val="Heading1"/>
      </w:pPr>
      <w:r>
        <w:t xml:space="preserve">Methods</w:t>
      </w:r>
    </w:p>
    <w:bookmarkStart w:id="1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11">
        <w:r>
          <w:rPr>
            <w:rStyle w:val="Hyperlink"/>
          </w:rPr>
          <w:t xml:space="preserve">https://osf.io/zvm7s/overview</w:t>
        </w:r>
      </w:hyperlink>
      <w:r>
        <w:t xml:space="preserve">) and our annotated analysis scripts and results are publicly available on our study website (</w:t>
      </w:r>
      <w:hyperlink r:id="rId12">
        <w:r>
          <w:rPr>
            <w:rStyle w:val="Hyperlink"/>
          </w:rPr>
          <w:t xml:space="preserve">https://jjcurtin.github.io/study_risk2/</w:t>
        </w:r>
      </w:hyperlink>
      <w:r>
        <w:t xml:space="preserve">).</w:t>
      </w:r>
      <w:r>
        <w:t xml:space="preserve"> </w:t>
      </w:r>
    </w:p>
    <w:bookmarkEnd w:id="13"/>
    <w:bookmarkStart w:id="14" w:name="participants"/>
    <w:p>
      <w:pPr>
        <w:pStyle w:val="Heading2"/>
      </w:pPr>
      <w:r>
        <w:t xml:space="preserve">Participants</w:t>
      </w:r>
    </w:p>
    <w:p>
      <w:pPr>
        <w:pStyle w:val="FirstParagraph"/>
      </w:pPr>
      <w:r>
        <w:t xml:space="preserve">We recruited participants in early recovery from OUD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14"/>
    <w:bookmarkStart w:id="17"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5"/>
      </w:r>
      <w:r>
        <w:t xml:space="preserve">, and $5 per month for sharing geolocation data.</w:t>
      </w:r>
      <w:r>
        <w:rPr>
          <w:rStyle w:val="FootnoteReference"/>
        </w:rPr>
        <w:footnoteReference w:id="16"/>
      </w:r>
      <w:r>
        <w:t xml:space="preserve"> </w:t>
      </w:r>
      <w:r>
        <w:t xml:space="preserve">Participants were also paid $50 per month to offset the cost of maintaining a cellphone data plan.</w:t>
      </w:r>
    </w:p>
    <w:bookmarkEnd w:id="17"/>
    <w:bookmarkStart w:id="21" w:name="measures"/>
    <w:p>
      <w:pPr>
        <w:pStyle w:val="Heading2"/>
      </w:pPr>
      <w:r>
        <w:t xml:space="preserve">Measures</w:t>
      </w:r>
    </w:p>
    <w:bookmarkStart w:id="18"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8"/>
    <w:bookmarkStart w:id="19"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19"/>
    <w:bookmarkStart w:id="20"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20"/>
    <w:bookmarkEnd w:id="21"/>
    <w:bookmarkStart w:id="30"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2"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22"/>
    <w:bookmarkStart w:id="23"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23"/>
    <w:bookmarkStart w:id="24"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24"/>
    <w:bookmarkStart w:id="25"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25"/>
    <w:bookmarkStart w:id="28"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26" w:name="auroc-and-model-comparisons"/>
    <w:p>
      <w:pPr>
        <w:pStyle w:val="Heading4"/>
      </w:pPr>
      <w:r>
        <w:t xml:space="preserve">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26"/>
    <w:bookmarkStart w:id="27" w:name="calibration-and-overall-performance"/>
    <w:p>
      <w:pPr>
        <w:pStyle w:val="Heading4"/>
      </w:pPr>
      <w:r>
        <w:t xml:space="preserve">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27"/>
    <w:bookmarkEnd w:id="28"/>
    <w:bookmarkStart w:id="29"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29"/>
    <w:bookmarkEnd w:id="30"/>
    <w:bookmarkEnd w:id="31"/>
    <w:bookmarkStart w:id="65" w:name="results"/>
    <w:p>
      <w:pPr>
        <w:pStyle w:val="Heading1"/>
      </w:pPr>
      <w:r>
        <w:t xml:space="preserve">Results</w:t>
      </w:r>
    </w:p>
    <w:bookmarkStart w:id="36"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32"/>
      </w:r>
      <w:r>
        <w:t xml:space="preserve"> </w:t>
      </w:r>
      <w:r>
        <w:t xml:space="preserve">Of these 330, 14 were excluded for not providing at least 28 days of EMA data with acceptable adherence</w:t>
      </w:r>
      <w:r>
        <w:rPr>
          <w:rStyle w:val="FootnoteReference"/>
        </w:rPr>
        <w:footnoteReference w:id="33"/>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tbl-1"/>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34"/>
          <w:p/>
        </w:tc>
      </w:tr>
    </w:tbl>
    <w:p>
      <w:pPr>
        <w:pStyle w:val="BodyText"/>
      </w:pPr>
      <w:r>
        <w:rPr>
          <w:vertAlign w:val="subscript"/>
        </w:rPr>
        <w:t xml:space="preserve">Source:</w:t>
      </w:r>
      <w:r>
        <w:rPr>
          <w:vertAlign w:val="subscript"/>
        </w:rPr>
        <w:t xml:space="preserve"> </w:t>
      </w:r>
      <w:hyperlink r:id="rId35">
        <w:r>
          <w:rPr>
            <w:rStyle w:val="Hyperlink"/>
            <w:vertAlign w:val="subscript"/>
          </w:rPr>
          <w:t xml:space="preserve">Make All Tables for Main Manuscript</w:t>
        </w:r>
      </w:hyperlink>
    </w:p>
    <w:bookmarkEnd w:id="36"/>
    <w:bookmarkStart w:id="37"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37"/>
    <w:bookmarkStart w:id="45" w:name="auroc-and-model-comparisons-1"/>
    <w:p>
      <w:pPr>
        <w:pStyle w:val="Heading2"/>
      </w:pPr>
      <w:r>
        <w:t xml:space="preserve">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tbl-2"/>
          <w:p>
            <w:pPr>
              <w:jc w:val="center"/>
            </w:pPr>
            <w:pPr>
              <w:jc w:val="lef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38"/>
          <w:p/>
        </w:tc>
      </w:tr>
    </w:tbl>
    <w:p>
      <w:pPr>
        <w:pStyle w:val="BodyText"/>
      </w:pPr>
      <w:r>
        <w:rPr>
          <w:vertAlign w:val="subscript"/>
        </w:rPr>
        <w:t xml:space="preserve">Source:</w:t>
      </w:r>
      <w:r>
        <w:rPr>
          <w:vertAlign w:val="subscript"/>
        </w:rPr>
        <w:t xml:space="preserve"> </w:t>
      </w:r>
      <w:hyperlink r:id="rId39">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43" w:name="fig-1"/>
          <w:p>
            <w:pPr>
              <w:pStyle w:val="Compact"/>
              <w:jc w:val="center"/>
            </w:pPr>
            <w:r>
              <w:drawing>
                <wp:inline>
                  <wp:extent cx="5334000" cy="3810000"/>
                  <wp:effectExtent b="0" l="0" r="0" t="0"/>
                  <wp:docPr descr="" title="" id="41" name="Picture"/>
                  <a:graphic>
                    <a:graphicData uri="http://schemas.openxmlformats.org/drawingml/2006/picture">
                      <pic:pic>
                        <pic:nvPicPr>
                          <pic:cNvPr descr="index_files/figure-docx/notebooks-mak_figures-fig-1-output-2.png" id="42" name="Picture"/>
                          <pic:cNvPicPr>
                            <a:picLocks noChangeArrowheads="1" noChangeAspect="1"/>
                          </pic:cNvPicPr>
                        </pic:nvPicPr>
                        <pic:blipFill>
                          <a:blip r:embed="rId4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w:t>
        </w:r>
      </w:hyperlink>
    </w:p>
    <w:bookmarkEnd w:id="45"/>
    <w:bookmarkStart w:id="52"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46"/>
      </w:r>
      <w:r>
        <w:t xml:space="preserve"> </w:t>
      </w:r>
      <w:r>
        <w:t xml:space="preserve">This model produced generally well-calibrated raw probabilities (brier score = 0.014; left panel of</w:t>
      </w:r>
      <w:r>
        <w:t xml:space="preserve"> </w:t>
      </w:r>
      <w:hyperlink w:anchor="fig-2">
        <w:r>
          <w:rPr>
            <w:rStyle w:val="Hyperlink"/>
          </w:rPr>
          <w:t xml:space="preserve">Figure 2</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fig-2"/>
          <w:p>
            <w:pPr>
              <w:pStyle w:val="Compact"/>
              <w:jc w:val="center"/>
            </w:pPr>
            <w:r>
              <w:drawing>
                <wp:inline>
                  <wp:extent cx="5334000" cy="6096000"/>
                  <wp:effectExtent b="0" l="0" r="0" t="0"/>
                  <wp:docPr descr="" title="" id="48" name="Picture"/>
                  <a:graphic>
                    <a:graphicData uri="http://schemas.openxmlformats.org/drawingml/2006/picture">
                      <pic:pic>
                        <pic:nvPicPr>
                          <pic:cNvPr descr="index_files/figure-docx/notebooks-mak_figures-fig-2-output-1.png" id="49" name="Picture"/>
                          <pic:cNvPicPr>
                            <a:picLocks noChangeArrowheads="1" noChangeAspect="1"/>
                          </pic:cNvPicPr>
                        </pic:nvPicPr>
                        <pic:blipFill>
                          <a:blip r:embed="rId47"/>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top panel presents a calibration plot of raw and Platt calibrated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calibrated (top) probabilities. The bottom left and right panel presents histograms of raw (uncalibrated) and Platt calibrated risk probability distributions, respectively, separately by true lapse outcome.</w:t>
            </w:r>
          </w:p>
          <w:bookmarkEnd w:id="50"/>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Make Figures</w:t>
        </w:r>
      </w:hyperlink>
    </w:p>
    <w:bookmarkEnd w:id="52"/>
    <w:bookmarkStart w:id="64" w:name="feature-importance-1"/>
    <w:p>
      <w:pPr>
        <w:pStyle w:val="Heading2"/>
      </w:pPr>
      <w:r>
        <w:t xml:space="preserve">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3</w:t>
        </w:r>
      </w:hyperlink>
      <w:r>
        <w:t xml:space="preserve"> </w:t>
      </w:r>
      <w:r>
        <w:t xml:space="preserve">displays the top 30 (out of 186) feature categories, as defined by the 30 largest absolute mean shapley values. In the supplement, we provide full figures of all possible feature categories.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57" w:name="fig-3"/>
          <w:p>
            <w:pPr>
              <w:pStyle w:val="Compact"/>
              <w:jc w:val="center"/>
            </w:pPr>
            <w:bookmarkStart w:id="56" w:name="fig-3"/>
            <w:r>
              <w:drawing>
                <wp:inline>
                  <wp:extent cx="5334000" cy="3333749"/>
                  <wp:effectExtent b="0" l="0" r="0" t="0"/>
                  <wp:docPr descr="" title="" id="54" name="Picture"/>
                  <a:graphic>
                    <a:graphicData uri="http://schemas.openxmlformats.org/drawingml/2006/picture">
                      <pic:pic>
                        <pic:nvPicPr>
                          <pic:cNvPr descr="index_files/figure-docx/notebooks-mak_figures-fig-3-output-1.png" id="55" name="Picture"/>
                          <pic:cNvPicPr>
                            <a:picLocks noChangeArrowheads="1" noChangeAspect="1"/>
                          </pic:cNvPicPr>
                        </pic:nvPicPr>
                        <pic:blipFill>
                          <a:blip r:embed="rId53"/>
                          <a:stretch>
                            <a:fillRect/>
                          </a:stretch>
                        </pic:blipFill>
                        <pic:spPr bwMode="auto">
                          <a:xfrm>
                            <a:off x="0" y="0"/>
                            <a:ext cx="5334000" cy="3333749"/>
                          </a:xfrm>
                          <a:prstGeom prst="rect">
                            <a:avLst/>
                          </a:prstGeom>
                          <a:noFill/>
                          <a:ln w="9525">
                            <a:noFill/>
                            <a:headEnd/>
                            <a:tailEnd/>
                          </a:ln>
                        </pic:spPr>
                      </pic:pic>
                    </a:graphicData>
                  </a:graphic>
                </wp:inline>
              </w:drawing>
            </w:r>
            <w:bookmarkEnd w:id="56"/>
          </w:p>
          <w:p>
            <w:pPr>
              <w:jc w:val="center"/>
            </w:pPr>
            <w:pPr>
              <w:jc w:val="left"/>
              <w:spacing w:before="200"/>
              <w:pStyle w:val="ImageCaption"/>
            </w:pPr>
            <w:r>
              <w:t xml:space="preserve">Figure 3</w:t>
            </w:r>
          </w:p>
          <w:bookmarkEnd w:id="57"/>
        </w:tc>
      </w:tr>
    </w:tbl>
    <w:p>
      <w:pPr>
        <w:pStyle w:val="BodyText"/>
      </w:pPr>
      <w:r>
        <w:rPr>
          <w:vertAlign w:val="subscript"/>
        </w:rPr>
        <w:t xml:space="preserve">Source:</w:t>
      </w:r>
      <w:r>
        <w:rPr>
          <w:vertAlign w:val="subscript"/>
        </w:rPr>
        <w:t xml:space="preserve"> </w:t>
      </w:r>
      <w:hyperlink r:id="rId58">
        <w:r>
          <w:rPr>
            <w:rStyle w:val="Hyperlink"/>
            <w:vertAlign w:val="subscript"/>
          </w:rPr>
          <w:t xml:space="preserve">Make Figures</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4</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62" w:name="fig-4"/>
          <w:p>
            <w:pPr>
              <w:pStyle w:val="Compact"/>
              <w:jc w:val="center"/>
            </w:pPr>
            <w:r>
              <w:drawing>
                <wp:inline>
                  <wp:extent cx="5334000" cy="7467600"/>
                  <wp:effectExtent b="0" l="0" r="0" t="0"/>
                  <wp:docPr descr="" title="" id="60" name="Picture"/>
                  <a:graphic>
                    <a:graphicData uri="http://schemas.openxmlformats.org/drawingml/2006/picture">
                      <pic:pic>
                        <pic:nvPicPr>
                          <pic:cNvPr descr="index_files/figure-docx/notebooks-mak_figures-fig-4-output-1.png" id="61" name="Picture"/>
                          <pic:cNvPicPr>
                            <a:picLocks noChangeArrowheads="1" noChangeAspect="1"/>
                          </pic:cNvPicPr>
                        </pic:nvPicPr>
                        <pic:blipFill>
                          <a:blip r:embed="rId59"/>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Feature importance partial dependence plots.</w:t>
            </w:r>
          </w:p>
          <w:bookmarkEnd w:id="62"/>
        </w:tc>
      </w:tr>
    </w:tbl>
    <w:p>
      <w:pPr>
        <w:pStyle w:val="BodyText"/>
      </w:pPr>
      <w:r>
        <w:rPr>
          <w:vertAlign w:val="subscript"/>
        </w:rPr>
        <w:t xml:space="preserve">Source:</w:t>
      </w:r>
      <w:r>
        <w:rPr>
          <w:vertAlign w:val="subscript"/>
        </w:rPr>
        <w:t xml:space="preserve"> </w:t>
      </w:r>
      <w:hyperlink r:id="rId63">
        <w:r>
          <w:rPr>
            <w:rStyle w:val="Hyperlink"/>
            <w:vertAlign w:val="subscript"/>
          </w:rPr>
          <w:t xml:space="preserve">Make Figures</w:t>
        </w:r>
      </w:hyperlink>
    </w:p>
    <w:bookmarkEnd w:id="64"/>
    <w:bookmarkEnd w:id="65"/>
    <w:bookmarkStart w:id="66" w:name="discussion"/>
    <w:p>
      <w:pPr>
        <w:pStyle w:val="Heading1"/>
      </w:pPr>
      <w:r>
        <w:t xml:space="preserve">Discussion</w:t>
      </w:r>
    </w:p>
    <w:p>
      <w:pPr>
        <w:pStyle w:val="FirstParagraph"/>
      </w:pPr>
      <w:r>
        <w:t xml:space="preserve">Our full model demonstrated that it is possible to future next-day lapses back to opioid use with high accuracy using smartphone sensing data (auROC = 0.94). Model predictions were well-calibrated, with estimated probabilities closely aligning with observed lapse rates. This is exciting given that our goal was to build a model that could provide insight into lapse risk.</w:t>
      </w:r>
    </w:p>
    <w:p>
      <w:pPr>
        <w:pStyle w:val="BodyText"/>
      </w:pPr>
      <w:r>
        <w:t xml:space="preserve">Ablation model comparisons revealed that daily surveys alone captured nearly all of this predictive signal (auROC = 0.94). To our knowledge, no other published SUD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A second limitation of our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0.02 - 0.03 (favoring the advantaged group) were present in race and ethnicity, sexual orientation, and geographic location comparisons. These group comparisons were the most imbalanced, with 19-29% of participants in the disadvantaged groups. Our model may perform better for these groups with greater representation in the training data. Future research into identifying additional risk factors for lapse that are more prevalent in these groups may also help to reduce these discrepancies.</w:t>
      </w:r>
    </w:p>
    <w:p>
      <w:pPr>
        <w:pStyle w:val="BodyText"/>
      </w:pPr>
      <w:r>
        <w:t xml:space="preserve">Age may be another important dimension for evaluating model fairness.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because we did not have the representation in our sample. We encourage researchers to perform this analysis in future studies.</w:t>
      </w:r>
    </w:p>
    <w:p>
      <w:pPr>
        <w:pStyle w:val="BodyText"/>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nearly two-fold higher than the next most important feature. When considering this model in the context of a recovery monitoring support system that provides daily insight into lapse risk, this finding may be misleading. Fewer than 2% of day-level observations contained a lapse, and the majority of participants did not lapse at all. Among those who did lapse, many only lapsed one time. Given that lapse cannot be used as a predictor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When considering how our model might generalize in real world context, we must consider that participants were compensated for completing daily surveys and providing geolocation data, which may have influenced their willingness to provide data. However, participants received no additional direct benefit from their participation beyond financial compensation. In real‑world implementations, individuals may be more motivated to share data when it enables personalized recovery support. This perceived benefit may outweigh the burden of data collection, possibly even more so than financial incentive.</w:t>
      </w:r>
    </w:p>
    <w:p>
      <w:pPr>
        <w:pStyle w:val="BodyText"/>
      </w:pPr>
      <w:r>
        <w:t xml:space="preserve">Additionally,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Lastly, participants provided data for up to 12 months. This extended window of recovery is critical for evaluating the value of an algorithm intended for ongoing continuing care support and understanding how lapse risk evolves as people progress in their recovery. Unfortunately, our ability to address explanatory questions about the time course of lapse risk, and how individuals might cluster on different recovery trajectories is limited with traditional machine learning methods. These methods do not capture the repeated nature of sensing data. Each lapse prediction is treated as a new independent observation. We can account for the repeated observations in our sensing data by engineering features that capture individual changes over time to produce unbiased and precise estimates of predictive performance. However, more traditional time series models may be better suited for understanding the temporal dynamics of lapse risk over long periods of recovery.</w:t>
      </w:r>
    </w:p>
    <w:p>
      <w:pPr>
        <w:pStyle w:val="BodyText"/>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OUD suggests it represents a promising step toward future real‑world implementation and evaluation.</w:t>
      </w:r>
    </w:p>
    <w:bookmarkEnd w:id="66"/>
    <w:bookmarkStart w:id="145" w:name="references"/>
    <w:p>
      <w:pPr>
        <w:pStyle w:val="Heading1"/>
      </w:pPr>
      <w:r>
        <w:t xml:space="preserve">References</w:t>
      </w:r>
    </w:p>
    <w:bookmarkStart w:id="144" w:name="refs"/>
    <w:bookmarkStart w:id="67"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67"/>
    <w:bookmarkStart w:id="69"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68">
        <w:r>
          <w:rPr>
            <w:rStyle w:val="Hyperlink"/>
          </w:rPr>
          <w:t xml:space="preserve">https://doi.org/10.21231/GNT1-HW21</w:t>
        </w:r>
      </w:hyperlink>
    </w:p>
    <w:bookmarkEnd w:id="69"/>
    <w:bookmarkStart w:id="71"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70">
        <w:r>
          <w:rPr>
            <w:rStyle w:val="Hyperlink"/>
          </w:rPr>
          <w:t xml:space="preserve">https://doi.org/10.1136/bmj-2023-078378</w:t>
        </w:r>
      </w:hyperlink>
    </w:p>
    <w:bookmarkEnd w:id="71"/>
    <w:bookmarkStart w:id="72"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72"/>
    <w:bookmarkStart w:id="74"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73">
        <w:r>
          <w:rPr>
            <w:rStyle w:val="Hyperlink"/>
          </w:rPr>
          <w:t xml:space="preserve">https://doi.org/10/ghqvcw</w:t>
        </w:r>
      </w:hyperlink>
    </w:p>
    <w:bookmarkEnd w:id="74"/>
    <w:bookmarkStart w:id="76"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75">
        <w:r>
          <w:rPr>
            <w:rStyle w:val="Hyperlink"/>
          </w:rPr>
          <w:t xml:space="preserve">https://doi.org/10.1016/j.drugalcdep.2020.108350</w:t>
        </w:r>
      </w:hyperlink>
    </w:p>
    <w:bookmarkEnd w:id="76"/>
    <w:bookmarkStart w:id="78"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77">
        <w:r>
          <w:rPr>
            <w:rStyle w:val="Hyperlink"/>
          </w:rPr>
          <w:t xml:space="preserve">https://doi.org/10.1080/10826084.2021.1899225</w:t>
        </w:r>
      </w:hyperlink>
    </w:p>
    <w:bookmarkEnd w:id="78"/>
    <w:bookmarkStart w:id="79"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79"/>
    <w:bookmarkStart w:id="81"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80">
        <w:r>
          <w:rPr>
            <w:rStyle w:val="Hyperlink"/>
          </w:rPr>
          <w:t xml:space="preserve">https://doi.org/10.1016/j.drugalcdep.2006.05.012</w:t>
        </w:r>
      </w:hyperlink>
    </w:p>
    <w:bookmarkEnd w:id="81"/>
    <w:bookmarkStart w:id="83"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82">
        <w:r>
          <w:rPr>
            <w:rStyle w:val="Hyperlink"/>
          </w:rPr>
          <w:t xml:space="preserve">https://doi.org/10.1016/j.drugalcdep.2013.07.027</w:t>
        </w:r>
      </w:hyperlink>
    </w:p>
    <w:bookmarkEnd w:id="83"/>
    <w:bookmarkStart w:id="85"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84">
        <w:r>
          <w:rPr>
            <w:rStyle w:val="Hyperlink"/>
          </w:rPr>
          <w:t xml:space="preserve">https://doi.org/10.1001/jamapsychiatry.2013.4642</w:t>
        </w:r>
      </w:hyperlink>
    </w:p>
    <w:bookmarkEnd w:id="85"/>
    <w:bookmarkStart w:id="86"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86"/>
    <w:bookmarkStart w:id="88"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87">
        <w:r>
          <w:rPr>
            <w:rStyle w:val="Hyperlink"/>
          </w:rPr>
          <w:t xml:space="preserve">https://doi.org/10.1016/j.josat.2025.209685</w:t>
        </w:r>
      </w:hyperlink>
    </w:p>
    <w:bookmarkEnd w:id="88"/>
    <w:bookmarkStart w:id="90"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89">
        <w:r>
          <w:rPr>
            <w:rStyle w:val="Hyperlink"/>
          </w:rPr>
          <w:t xml:space="preserve">https://doi.org/10.1097/ADM.0000000000000312</w:t>
        </w:r>
      </w:hyperlink>
    </w:p>
    <w:bookmarkEnd w:id="90"/>
    <w:bookmarkStart w:id="92"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91">
        <w:r>
          <w:rPr>
            <w:rStyle w:val="Hyperlink"/>
          </w:rPr>
          <w:t xml:space="preserve">https://doi.org/10/gfsjzg</w:t>
        </w:r>
      </w:hyperlink>
    </w:p>
    <w:bookmarkEnd w:id="92"/>
    <w:bookmarkStart w:id="94"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93">
        <w:r>
          <w:rPr>
            <w:rStyle w:val="Hyperlink"/>
          </w:rPr>
          <w:t xml:space="preserve">https://doi.org/10.1001/jamanetworkopen.2020.5852</w:t>
        </w:r>
      </w:hyperlink>
    </w:p>
    <w:bookmarkEnd w:id="94"/>
    <w:bookmarkStart w:id="95"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95"/>
    <w:bookmarkStart w:id="96"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96"/>
    <w:bookmarkStart w:id="98"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97">
        <w:r>
          <w:rPr>
            <w:rStyle w:val="Hyperlink"/>
          </w:rPr>
          <w:t xml:space="preserve">https://doi.org/10.1080/00952990.2019.1694536</w:t>
        </w:r>
      </w:hyperlink>
    </w:p>
    <w:bookmarkEnd w:id="98"/>
    <w:bookmarkStart w:id="100"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99">
        <w:r>
          <w:rPr>
            <w:rStyle w:val="Hyperlink"/>
          </w:rPr>
          <w:t xml:space="preserve">https://doi.org/10.1111/jrh.70076</w:t>
        </w:r>
      </w:hyperlink>
    </w:p>
    <w:bookmarkEnd w:id="100"/>
    <w:bookmarkStart w:id="101"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101"/>
    <w:bookmarkStart w:id="103"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102">
        <w:r>
          <w:rPr>
            <w:rStyle w:val="Hyperlink"/>
          </w:rPr>
          <w:t xml:space="preserve">https://doi.org/10.1038/s41380-018-0094-5</w:t>
        </w:r>
      </w:hyperlink>
    </w:p>
    <w:bookmarkEnd w:id="103"/>
    <w:bookmarkStart w:id="104"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104"/>
    <w:bookmarkStart w:id="106"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105">
        <w:r>
          <w:rPr>
            <w:rStyle w:val="Hyperlink"/>
          </w:rPr>
          <w:t xml:space="preserve">https://doi.org/10.1177/00333549211041554</w:t>
        </w:r>
      </w:hyperlink>
    </w:p>
    <w:bookmarkEnd w:id="106"/>
    <w:bookmarkStart w:id="108"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107">
        <w:r>
          <w:rPr>
            <w:rStyle w:val="Hyperlink"/>
          </w:rPr>
          <w:t xml:space="preserve">https://doi.org/10.1016/j.cpr.2017.10.012</w:t>
        </w:r>
      </w:hyperlink>
    </w:p>
    <w:bookmarkEnd w:id="108"/>
    <w:bookmarkStart w:id="110"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109">
        <w:r>
          <w:rPr>
            <w:rStyle w:val="Hyperlink"/>
          </w:rPr>
          <w:t xml:space="preserve">https://doi.org/10.1146/annurev-clinpsy-032816-044949</w:t>
        </w:r>
      </w:hyperlink>
    </w:p>
    <w:bookmarkEnd w:id="110"/>
    <w:bookmarkStart w:id="112"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111">
        <w:r>
          <w:rPr>
            <w:rStyle w:val="Hyperlink"/>
          </w:rPr>
          <w:t xml:space="preserve">https://doi.org/10.2196/29563</w:t>
        </w:r>
      </w:hyperlink>
    </w:p>
    <w:bookmarkEnd w:id="112"/>
    <w:bookmarkStart w:id="114"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13">
        <w:r>
          <w:rPr>
            <w:rStyle w:val="Hyperlink"/>
          </w:rPr>
          <w:t xml:space="preserve">https://doi.org/10.1016/j.jsat.2021.108710</w:t>
        </w:r>
      </w:hyperlink>
    </w:p>
    <w:bookmarkEnd w:id="114"/>
    <w:bookmarkStart w:id="116"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115">
        <w:r>
          <w:rPr>
            <w:rStyle w:val="Hyperlink"/>
          </w:rPr>
          <w:t xml:space="preserve">https://doi.org/10.1037/tps0000250</w:t>
        </w:r>
      </w:hyperlink>
    </w:p>
    <w:bookmarkEnd w:id="116"/>
    <w:bookmarkStart w:id="118"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17">
        <w:r>
          <w:rPr>
            <w:rStyle w:val="Hyperlink"/>
          </w:rPr>
          <w:t xml:space="preserve">https://doi.org/10.1016/j.drugalcdep.2019.05.017</w:t>
        </w:r>
      </w:hyperlink>
    </w:p>
    <w:bookmarkEnd w:id="118"/>
    <w:bookmarkStart w:id="119"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19"/>
    <w:bookmarkStart w:id="121"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120">
        <w:r>
          <w:rPr>
            <w:rStyle w:val="Hyperlink"/>
          </w:rPr>
          <w:t xml:space="preserve">https://doi.org/10.1377/hlthaff.2011.0983</w:t>
        </w:r>
      </w:hyperlink>
    </w:p>
    <w:bookmarkEnd w:id="121"/>
    <w:bookmarkStart w:id="123"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122">
        <w:r>
          <w:rPr>
            <w:rStyle w:val="Hyperlink"/>
          </w:rPr>
          <w:t xml:space="preserve">https://doi.org/10.1111/j.1530-0277.2006.00263.x</w:t>
        </w:r>
      </w:hyperlink>
    </w:p>
    <w:bookmarkEnd w:id="123"/>
    <w:bookmarkStart w:id="125"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124">
        <w:r>
          <w:rPr>
            <w:rStyle w:val="Hyperlink"/>
          </w:rPr>
          <w:t xml:space="preserve">https://doi.org/10.1001/jamapsychiatry.2013.4450</w:t>
        </w:r>
      </w:hyperlink>
    </w:p>
    <w:bookmarkEnd w:id="125"/>
    <w:bookmarkStart w:id="127"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126">
        <w:r>
          <w:rPr>
            <w:rStyle w:val="Hyperlink"/>
          </w:rPr>
          <w:t xml:space="preserve">https://doi.org/10.1037/0003-066X.60.4.340</w:t>
        </w:r>
      </w:hyperlink>
    </w:p>
    <w:bookmarkEnd w:id="127"/>
    <w:bookmarkStart w:id="128"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128"/>
    <w:bookmarkStart w:id="130"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29">
        <w:r>
          <w:rPr>
            <w:rStyle w:val="Hyperlink"/>
          </w:rPr>
          <w:t xml:space="preserve">https://doi.org/10.1016/j.landig.2025.100916</w:t>
        </w:r>
      </w:hyperlink>
    </w:p>
    <w:bookmarkEnd w:id="130"/>
    <w:bookmarkStart w:id="132"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31">
        <w:r>
          <w:rPr>
            <w:rStyle w:val="Hyperlink"/>
          </w:rPr>
          <w:t xml:space="preserve">https://doi.org/10.1016/j.artmed.2020.101987</w:t>
        </w:r>
      </w:hyperlink>
    </w:p>
    <w:bookmarkEnd w:id="132"/>
    <w:bookmarkStart w:id="133"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133"/>
    <w:bookmarkStart w:id="135"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134">
        <w:r>
          <w:rPr>
            <w:rStyle w:val="Hyperlink"/>
          </w:rPr>
          <w:t xml:space="preserve">https://doi.org/10.1037/0003-066X.59.4.224</w:t>
        </w:r>
      </w:hyperlink>
    </w:p>
    <w:bookmarkEnd w:id="135"/>
    <w:bookmarkStart w:id="137"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136">
        <w:r>
          <w:rPr>
            <w:rStyle w:val="Hyperlink"/>
          </w:rPr>
          <w:t xml:space="preserve">https://doi.org/10.1080/14659891.2018.1523968</w:t>
        </w:r>
      </w:hyperlink>
    </w:p>
    <w:bookmarkEnd w:id="137"/>
    <w:bookmarkStart w:id="139"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138">
        <w:r>
          <w:rPr>
            <w:rStyle w:val="Hyperlink"/>
          </w:rPr>
          <w:t xml:space="preserve">https://doi.org/10.2196/41833</w:t>
        </w:r>
      </w:hyperlink>
    </w:p>
    <w:bookmarkEnd w:id="139"/>
    <w:bookmarkStart w:id="141"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140">
        <w:r>
          <w:rPr>
            <w:rStyle w:val="Hyperlink"/>
          </w:rPr>
          <w:t xml:space="preserve">https://doi.org/10.31234/osf.io/cgsf7</w:t>
        </w:r>
      </w:hyperlink>
    </w:p>
    <w:bookmarkEnd w:id="141"/>
    <w:bookmarkStart w:id="143"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42">
        <w:r>
          <w:rPr>
            <w:rStyle w:val="Hyperlink"/>
          </w:rPr>
          <w:t xml:space="preserve">https://doi.org/10.1080/17441692.2023.2277854</w:t>
        </w:r>
      </w:hyperlink>
    </w:p>
    <w:bookmarkEnd w:id="143"/>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5">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6">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32">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33">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46">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59" Target="media/rId59.png" /><Relationship Type="http://schemas.openxmlformats.org/officeDocument/2006/relationships/hyperlink" Id="rId93" Target="https://doi.org/10.1001/jamanetworkopen.2020.5852" TargetMode="External" /><Relationship Type="http://schemas.openxmlformats.org/officeDocument/2006/relationships/hyperlink" Id="rId124" Target="https://doi.org/10.1001/jamapsychiatry.2013.4450" TargetMode="External" /><Relationship Type="http://schemas.openxmlformats.org/officeDocument/2006/relationships/hyperlink" Id="rId84" Target="https://doi.org/10.1001/jamapsychiatry.2013.4642" TargetMode="External" /><Relationship Type="http://schemas.openxmlformats.org/officeDocument/2006/relationships/hyperlink" Id="rId131" Target="https://doi.org/10.1016/j.artmed.2020.101987" TargetMode="External" /><Relationship Type="http://schemas.openxmlformats.org/officeDocument/2006/relationships/hyperlink" Id="rId107" Target="https://doi.org/10.1016/j.cpr.2017.10.012" TargetMode="External" /><Relationship Type="http://schemas.openxmlformats.org/officeDocument/2006/relationships/hyperlink" Id="rId80" Target="https://doi.org/10.1016/j.drugalcdep.2006.05.012" TargetMode="External" /><Relationship Type="http://schemas.openxmlformats.org/officeDocument/2006/relationships/hyperlink" Id="rId82" Target="https://doi.org/10.1016/j.drugalcdep.2013.07.027" TargetMode="External" /><Relationship Type="http://schemas.openxmlformats.org/officeDocument/2006/relationships/hyperlink" Id="rId117" Target="https://doi.org/10.1016/j.drugalcdep.2019.05.017" TargetMode="External" /><Relationship Type="http://schemas.openxmlformats.org/officeDocument/2006/relationships/hyperlink" Id="rId75" Target="https://doi.org/10.1016/j.drugalcdep.2020.108350" TargetMode="External" /><Relationship Type="http://schemas.openxmlformats.org/officeDocument/2006/relationships/hyperlink" Id="rId87" Target="https://doi.org/10.1016/j.josat.2025.209685" TargetMode="External" /><Relationship Type="http://schemas.openxmlformats.org/officeDocument/2006/relationships/hyperlink" Id="rId113" Target="https://doi.org/10.1016/j.jsat.2021.108710" TargetMode="External" /><Relationship Type="http://schemas.openxmlformats.org/officeDocument/2006/relationships/hyperlink" Id="rId129" Target="https://doi.org/10.1016/j.landig.2025.100916" TargetMode="External" /><Relationship Type="http://schemas.openxmlformats.org/officeDocument/2006/relationships/hyperlink" Id="rId134" Target="https://doi.org/10.1037/0003-066X.59.4.224" TargetMode="External" /><Relationship Type="http://schemas.openxmlformats.org/officeDocument/2006/relationships/hyperlink" Id="rId126" Target="https://doi.org/10.1037/0003-066X.60.4.340" TargetMode="External" /><Relationship Type="http://schemas.openxmlformats.org/officeDocument/2006/relationships/hyperlink" Id="rId115" Target="https://doi.org/10.1037/tps0000250" TargetMode="External" /><Relationship Type="http://schemas.openxmlformats.org/officeDocument/2006/relationships/hyperlink" Id="rId102" Target="https://doi.org/10.1038/s41380-018-0094-5" TargetMode="External" /><Relationship Type="http://schemas.openxmlformats.org/officeDocument/2006/relationships/hyperlink" Id="rId97" Target="https://doi.org/10.1080/00952990.2019.1694536" TargetMode="External" /><Relationship Type="http://schemas.openxmlformats.org/officeDocument/2006/relationships/hyperlink" Id="rId77" Target="https://doi.org/10.1080/10826084.2021.1899225" TargetMode="External" /><Relationship Type="http://schemas.openxmlformats.org/officeDocument/2006/relationships/hyperlink" Id="rId136" Target="https://doi.org/10.1080/14659891.2018.1523968" TargetMode="External" /><Relationship Type="http://schemas.openxmlformats.org/officeDocument/2006/relationships/hyperlink" Id="rId142" Target="https://doi.org/10.1080/17441692.2023.2277854" TargetMode="External" /><Relationship Type="http://schemas.openxmlformats.org/officeDocument/2006/relationships/hyperlink" Id="rId89" Target="https://doi.org/10.1097/ADM.0000000000000312" TargetMode="External" /><Relationship Type="http://schemas.openxmlformats.org/officeDocument/2006/relationships/hyperlink" Id="rId122" Target="https://doi.org/10.1111/j.1530-0277.2006.00263.x" TargetMode="External" /><Relationship Type="http://schemas.openxmlformats.org/officeDocument/2006/relationships/hyperlink" Id="rId99" Target="https://doi.org/10.1111/jrh.70076" TargetMode="External" /><Relationship Type="http://schemas.openxmlformats.org/officeDocument/2006/relationships/hyperlink" Id="rId70" Target="https://doi.org/10.1136/bmj-2023-078378" TargetMode="External" /><Relationship Type="http://schemas.openxmlformats.org/officeDocument/2006/relationships/hyperlink" Id="rId109" Target="https://doi.org/10.1146/annurev-clinpsy-032816-044949" TargetMode="External" /><Relationship Type="http://schemas.openxmlformats.org/officeDocument/2006/relationships/hyperlink" Id="rId105" Target="https://doi.org/10.1177/00333549211041554" TargetMode="External" /><Relationship Type="http://schemas.openxmlformats.org/officeDocument/2006/relationships/hyperlink" Id="rId120" Target="https://doi.org/10.1377/hlthaff.2011.0983" TargetMode="External" /><Relationship Type="http://schemas.openxmlformats.org/officeDocument/2006/relationships/hyperlink" Id="rId68" Target="https://doi.org/10.21231/GNT1-HW21" TargetMode="External" /><Relationship Type="http://schemas.openxmlformats.org/officeDocument/2006/relationships/hyperlink" Id="rId111" Target="https://doi.org/10.2196/29563" TargetMode="External" /><Relationship Type="http://schemas.openxmlformats.org/officeDocument/2006/relationships/hyperlink" Id="rId138" Target="https://doi.org/10.2196/41833" TargetMode="External" /><Relationship Type="http://schemas.openxmlformats.org/officeDocument/2006/relationships/hyperlink" Id="rId140" Target="https://doi.org/10.31234/osf.io/cgsf7" TargetMode="External" /><Relationship Type="http://schemas.openxmlformats.org/officeDocument/2006/relationships/hyperlink" Id="rId91" Target="https://doi.org/10/gfsjzg" TargetMode="External" /><Relationship Type="http://schemas.openxmlformats.org/officeDocument/2006/relationships/hyperlink" Id="rId73" Target="https://doi.org/10/ghqvcw" TargetMode="External" /><Relationship Type="http://schemas.openxmlformats.org/officeDocument/2006/relationships/hyperlink" Id="rId12"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4" Target="https://jjcurtin.github.io/study_risk2/notebooks\mak_figures-preview.html#cell-fig-1" TargetMode="External" /><Relationship Type="http://schemas.openxmlformats.org/officeDocument/2006/relationships/hyperlink" Id="rId51" Target="https://jjcurtin.github.io/study_risk2/notebooks\mak_figures-preview.html#cell-fig-2" TargetMode="External" /><Relationship Type="http://schemas.openxmlformats.org/officeDocument/2006/relationships/hyperlink" Id="rId58" Target="https://jjcurtin.github.io/study_risk2/notebooks\mak_figures-preview.html#cell-fig-3" TargetMode="External" /><Relationship Type="http://schemas.openxmlformats.org/officeDocument/2006/relationships/hyperlink" Id="rId63" Target="https://jjcurtin.github.io/study_risk2/notebooks\mak_figures-preview.html#cell-fig-4" TargetMode="External" /><Relationship Type="http://schemas.openxmlformats.org/officeDocument/2006/relationships/hyperlink" Id="rId35" Target="https://jjcurtin.github.io/study_risk2/notebooks\mak_tables-preview.html#cell-tbl-1" TargetMode="External" /><Relationship Type="http://schemas.openxmlformats.org/officeDocument/2006/relationships/hyperlink" Id="rId39" Target="https://jjcurtin.github.io/study_risk2/notebooks\mak_tables-preview.html#cell-tbl-2" TargetMode="External" /><Relationship Type="http://schemas.openxmlformats.org/officeDocument/2006/relationships/hyperlink" Id="rId11"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93" Target="https://doi.org/10.1001/jamanetworkopen.2020.5852" TargetMode="External" /><Relationship Type="http://schemas.openxmlformats.org/officeDocument/2006/relationships/hyperlink" Id="rId124" Target="https://doi.org/10.1001/jamapsychiatry.2013.4450" TargetMode="External" /><Relationship Type="http://schemas.openxmlformats.org/officeDocument/2006/relationships/hyperlink" Id="rId84" Target="https://doi.org/10.1001/jamapsychiatry.2013.4642" TargetMode="External" /><Relationship Type="http://schemas.openxmlformats.org/officeDocument/2006/relationships/hyperlink" Id="rId131" Target="https://doi.org/10.1016/j.artmed.2020.101987" TargetMode="External" /><Relationship Type="http://schemas.openxmlformats.org/officeDocument/2006/relationships/hyperlink" Id="rId107" Target="https://doi.org/10.1016/j.cpr.2017.10.012" TargetMode="External" /><Relationship Type="http://schemas.openxmlformats.org/officeDocument/2006/relationships/hyperlink" Id="rId80" Target="https://doi.org/10.1016/j.drugalcdep.2006.05.012" TargetMode="External" /><Relationship Type="http://schemas.openxmlformats.org/officeDocument/2006/relationships/hyperlink" Id="rId82" Target="https://doi.org/10.1016/j.drugalcdep.2013.07.027" TargetMode="External" /><Relationship Type="http://schemas.openxmlformats.org/officeDocument/2006/relationships/hyperlink" Id="rId117" Target="https://doi.org/10.1016/j.drugalcdep.2019.05.017" TargetMode="External" /><Relationship Type="http://schemas.openxmlformats.org/officeDocument/2006/relationships/hyperlink" Id="rId75" Target="https://doi.org/10.1016/j.drugalcdep.2020.108350" TargetMode="External" /><Relationship Type="http://schemas.openxmlformats.org/officeDocument/2006/relationships/hyperlink" Id="rId87" Target="https://doi.org/10.1016/j.josat.2025.209685" TargetMode="External" /><Relationship Type="http://schemas.openxmlformats.org/officeDocument/2006/relationships/hyperlink" Id="rId113" Target="https://doi.org/10.1016/j.jsat.2021.108710" TargetMode="External" /><Relationship Type="http://schemas.openxmlformats.org/officeDocument/2006/relationships/hyperlink" Id="rId129" Target="https://doi.org/10.1016/j.landig.2025.100916" TargetMode="External" /><Relationship Type="http://schemas.openxmlformats.org/officeDocument/2006/relationships/hyperlink" Id="rId134" Target="https://doi.org/10.1037/0003-066X.59.4.224" TargetMode="External" /><Relationship Type="http://schemas.openxmlformats.org/officeDocument/2006/relationships/hyperlink" Id="rId126" Target="https://doi.org/10.1037/0003-066X.60.4.340" TargetMode="External" /><Relationship Type="http://schemas.openxmlformats.org/officeDocument/2006/relationships/hyperlink" Id="rId115" Target="https://doi.org/10.1037/tps0000250" TargetMode="External" /><Relationship Type="http://schemas.openxmlformats.org/officeDocument/2006/relationships/hyperlink" Id="rId102" Target="https://doi.org/10.1038/s41380-018-0094-5" TargetMode="External" /><Relationship Type="http://schemas.openxmlformats.org/officeDocument/2006/relationships/hyperlink" Id="rId97" Target="https://doi.org/10.1080/00952990.2019.1694536" TargetMode="External" /><Relationship Type="http://schemas.openxmlformats.org/officeDocument/2006/relationships/hyperlink" Id="rId77" Target="https://doi.org/10.1080/10826084.2021.1899225" TargetMode="External" /><Relationship Type="http://schemas.openxmlformats.org/officeDocument/2006/relationships/hyperlink" Id="rId136" Target="https://doi.org/10.1080/14659891.2018.1523968" TargetMode="External" /><Relationship Type="http://schemas.openxmlformats.org/officeDocument/2006/relationships/hyperlink" Id="rId142" Target="https://doi.org/10.1080/17441692.2023.2277854" TargetMode="External" /><Relationship Type="http://schemas.openxmlformats.org/officeDocument/2006/relationships/hyperlink" Id="rId89" Target="https://doi.org/10.1097/ADM.0000000000000312" TargetMode="External" /><Relationship Type="http://schemas.openxmlformats.org/officeDocument/2006/relationships/hyperlink" Id="rId122" Target="https://doi.org/10.1111/j.1530-0277.2006.00263.x" TargetMode="External" /><Relationship Type="http://schemas.openxmlformats.org/officeDocument/2006/relationships/hyperlink" Id="rId99" Target="https://doi.org/10.1111/jrh.70076" TargetMode="External" /><Relationship Type="http://schemas.openxmlformats.org/officeDocument/2006/relationships/hyperlink" Id="rId70" Target="https://doi.org/10.1136/bmj-2023-078378" TargetMode="External" /><Relationship Type="http://schemas.openxmlformats.org/officeDocument/2006/relationships/hyperlink" Id="rId109" Target="https://doi.org/10.1146/annurev-clinpsy-032816-044949" TargetMode="External" /><Relationship Type="http://schemas.openxmlformats.org/officeDocument/2006/relationships/hyperlink" Id="rId105" Target="https://doi.org/10.1177/00333549211041554" TargetMode="External" /><Relationship Type="http://schemas.openxmlformats.org/officeDocument/2006/relationships/hyperlink" Id="rId120" Target="https://doi.org/10.1377/hlthaff.2011.0983" TargetMode="External" /><Relationship Type="http://schemas.openxmlformats.org/officeDocument/2006/relationships/hyperlink" Id="rId68" Target="https://doi.org/10.21231/GNT1-HW21" TargetMode="External" /><Relationship Type="http://schemas.openxmlformats.org/officeDocument/2006/relationships/hyperlink" Id="rId111" Target="https://doi.org/10.2196/29563" TargetMode="External" /><Relationship Type="http://schemas.openxmlformats.org/officeDocument/2006/relationships/hyperlink" Id="rId138" Target="https://doi.org/10.2196/41833" TargetMode="External" /><Relationship Type="http://schemas.openxmlformats.org/officeDocument/2006/relationships/hyperlink" Id="rId140" Target="https://doi.org/10.31234/osf.io/cgsf7" TargetMode="External" /><Relationship Type="http://schemas.openxmlformats.org/officeDocument/2006/relationships/hyperlink" Id="rId91" Target="https://doi.org/10/gfsjzg" TargetMode="External" /><Relationship Type="http://schemas.openxmlformats.org/officeDocument/2006/relationships/hyperlink" Id="rId73" Target="https://doi.org/10/ghqvcw" TargetMode="External" /><Relationship Type="http://schemas.openxmlformats.org/officeDocument/2006/relationships/hyperlink" Id="rId12"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4" Target="https://jjcurtin.github.io/study_risk2/notebooks\mak_figures-preview.html#cell-fig-1" TargetMode="External" /><Relationship Type="http://schemas.openxmlformats.org/officeDocument/2006/relationships/hyperlink" Id="rId51" Target="https://jjcurtin.github.io/study_risk2/notebooks\mak_figures-preview.html#cell-fig-2" TargetMode="External" /><Relationship Type="http://schemas.openxmlformats.org/officeDocument/2006/relationships/hyperlink" Id="rId58" Target="https://jjcurtin.github.io/study_risk2/notebooks\mak_figures-preview.html#cell-fig-3" TargetMode="External" /><Relationship Type="http://schemas.openxmlformats.org/officeDocument/2006/relationships/hyperlink" Id="rId63" Target="https://jjcurtin.github.io/study_risk2/notebooks\mak_figures-preview.html#cell-fig-4" TargetMode="External" /><Relationship Type="http://schemas.openxmlformats.org/officeDocument/2006/relationships/hyperlink" Id="rId35" Target="https://jjcurtin.github.io/study_risk2/notebooks\mak_tables-preview.html#cell-tbl-1" TargetMode="External" /><Relationship Type="http://schemas.openxmlformats.org/officeDocument/2006/relationships/hyperlink" Id="rId39" Target="https://jjcurtin.github.io/study_risk2/notebooks\mak_tables-preview.html#cell-tbl-2" TargetMode="External" /><Relationship Type="http://schemas.openxmlformats.org/officeDocument/2006/relationships/hyperlink" Id="rId11"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2026-05-27T15:07:30Z</dcterms:created>
  <dcterms:modified xsi:type="dcterms:W3CDTF">2026-05-27T15:07:30Z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2026-05-27</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a grant from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