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70545429"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321696" w:rsidRPr="00321696">
              <w:rPr>
                <w:rFonts w:ascii="Times New Roman" w:hAnsi="Times New Roman" w:cs="Times New Roman"/>
                <w:noProof/>
                <w:webHidden/>
                <w:sz w:val="24"/>
                <w:szCs w:val="24"/>
              </w:rPr>
              <w:t>2</w:t>
            </w:r>
            <w:r w:rsidR="00321696" w:rsidRPr="00321696">
              <w:rPr>
                <w:rFonts w:ascii="Times New Roman" w:hAnsi="Times New Roman" w:cs="Times New Roman"/>
                <w:noProof/>
                <w:webHidden/>
                <w:sz w:val="24"/>
                <w:szCs w:val="24"/>
              </w:rPr>
              <w:fldChar w:fldCharType="end"/>
            </w:r>
          </w:hyperlink>
        </w:p>
        <w:p w14:paraId="7038EA2E" w14:textId="698BEC8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527CE5F0" w14:textId="1087E974"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1C8E1283" w14:textId="147DD5F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684168F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37E1D2D6"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67D1934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6A3DA97F"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3E1B7447"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ECF0CE9" w14:textId="035C564E"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089B128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2902FE8B"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60686028"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1DE265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15</w:t>
            </w:r>
            <w:r w:rsidRPr="00321696">
              <w:rPr>
                <w:rFonts w:ascii="Times New Roman" w:hAnsi="Times New Roman" w:cs="Times New Roman"/>
                <w:noProof/>
                <w:webHidden/>
                <w:sz w:val="24"/>
                <w:szCs w:val="24"/>
              </w:rPr>
              <w:fldChar w:fldCharType="end"/>
            </w:r>
          </w:hyperlink>
        </w:p>
        <w:p w14:paraId="51EEEC88" w14:textId="21EA4E4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5F4EF3A" w14:textId="2E10749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308A6B66" w14:textId="08A451E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19</w:t>
            </w:r>
            <w:r w:rsidRPr="00321696">
              <w:rPr>
                <w:rFonts w:ascii="Times New Roman" w:hAnsi="Times New Roman" w:cs="Times New Roman"/>
                <w:noProof/>
                <w:webHidden/>
                <w:sz w:val="24"/>
                <w:szCs w:val="24"/>
              </w:rPr>
              <w:fldChar w:fldCharType="end"/>
            </w:r>
          </w:hyperlink>
        </w:p>
        <w:p w14:paraId="4946EE0A" w14:textId="7E7DF4F6"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w:t>
      </w:r>
      <w:r w:rsidR="009625E4" w:rsidRPr="009468C2">
        <w:rPr>
          <w:rFonts w:ascii="Times New Roman" w:hAnsi="Times New Roman" w:cs="Times New Roman"/>
          <w:sz w:val="24"/>
          <w:szCs w:val="24"/>
        </w:rPr>
        <w:lastRenderedPageBreak/>
        <w:t xml:space="preserve">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money. The Vulcan </w:t>
      </w:r>
      <w:r w:rsidR="004A7CC9" w:rsidRPr="009468C2">
        <w:rPr>
          <w:rFonts w:ascii="Times New Roman" w:hAnsi="Times New Roman" w:cs="Times New Roman"/>
          <w:sz w:val="24"/>
          <w:szCs w:val="24"/>
        </w:rPr>
        <w:lastRenderedPageBreak/>
        <w:t>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46F4F07B"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proofErr w:type="gramStart"/>
      <w:r w:rsidR="00EC0A6B" w:rsidRPr="009468C2">
        <w:rPr>
          <w:rFonts w:ascii="Times New Roman" w:hAnsi="Times New Roman" w:cs="Times New Roman"/>
          <w:sz w:val="24"/>
          <w:szCs w:val="24"/>
        </w:rPr>
        <w:t>users</w:t>
      </w:r>
      <w:r w:rsidR="005122B6">
        <w:rPr>
          <w:rFonts w:ascii="Times New Roman" w:hAnsi="Times New Roman" w:cs="Times New Roman"/>
          <w:sz w:val="24"/>
          <w:szCs w:val="24"/>
        </w:rPr>
        <w:t>,</w:t>
      </w:r>
      <w:proofErr w:type="gramEnd"/>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the accurate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lastRenderedPageBreak/>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w:t>
      </w:r>
      <w:proofErr w:type="gramStart"/>
      <w:r w:rsidR="004C2E74" w:rsidRPr="009468C2">
        <w:rPr>
          <w:rFonts w:ascii="Times New Roman" w:hAnsi="Times New Roman" w:cs="Times New Roman"/>
          <w:sz w:val="24"/>
          <w:szCs w:val="24"/>
        </w:rPr>
        <w:t>is capable of managing</w:t>
      </w:r>
      <w:proofErr w:type="gramEnd"/>
      <w:r w:rsidR="004C2E74"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12524"/>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w:t>
      </w:r>
      <w:r w:rsidRPr="00621D7E">
        <w:rPr>
          <w:rFonts w:ascii="Times New Roman" w:hAnsi="Times New Roman" w:cs="Times New Roman"/>
          <w:sz w:val="24"/>
          <w:szCs w:val="24"/>
        </w:rPr>
        <w:lastRenderedPageBreak/>
        <w:t xml:space="preserve">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w:t>
      </w:r>
      <w:proofErr w:type="gramStart"/>
      <w:r w:rsidRPr="00621D7E">
        <w:rPr>
          <w:rFonts w:ascii="Times New Roman" w:hAnsi="Times New Roman" w:cs="Times New Roman"/>
          <w:sz w:val="24"/>
          <w:szCs w:val="24"/>
        </w:rPr>
        <w:t>are in agreement</w:t>
      </w:r>
      <w:proofErr w:type="gramEnd"/>
      <w:r w:rsidRPr="00621D7E">
        <w:rPr>
          <w:rFonts w:ascii="Times New Roman" w:hAnsi="Times New Roman" w:cs="Times New Roman"/>
          <w:sz w:val="24"/>
          <w:szCs w:val="24"/>
        </w:rPr>
        <w:t xml:space="preserve">).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w:t>
      </w:r>
      <w:proofErr w:type="gramStart"/>
      <w:r w:rsidRPr="00621D7E">
        <w:rPr>
          <w:rFonts w:ascii="Times New Roman" w:hAnsi="Times New Roman" w:cs="Times New Roman"/>
          <w:sz w:val="24"/>
          <w:szCs w:val="24"/>
        </w:rPr>
        <w:t>.5 inch</w:t>
      </w:r>
      <w:proofErr w:type="gramEnd"/>
      <w:r w:rsidRPr="00621D7E">
        <w:rPr>
          <w:rFonts w:ascii="Times New Roman" w:hAnsi="Times New Roman" w:cs="Times New Roman"/>
          <w:sz w:val="24"/>
          <w:szCs w:val="24"/>
        </w:rPr>
        <w:t xml:space="preserve"> indent for the hanging indent). If you have any following questions, please feel free to email me at </w:t>
      </w:r>
      <w:hyperlink r:id="rId27"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3E03E" w14:textId="77777777" w:rsidR="003E6F6A" w:rsidRDefault="003E6F6A" w:rsidP="00523F26">
      <w:pPr>
        <w:spacing w:after="0" w:line="240" w:lineRule="auto"/>
      </w:pPr>
      <w:r>
        <w:separator/>
      </w:r>
    </w:p>
  </w:endnote>
  <w:endnote w:type="continuationSeparator" w:id="0">
    <w:p w14:paraId="31F834D4" w14:textId="77777777" w:rsidR="003E6F6A" w:rsidRDefault="003E6F6A"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E5CBE" w14:textId="77777777" w:rsidR="003E6F6A" w:rsidRDefault="003E6F6A" w:rsidP="00523F26">
      <w:pPr>
        <w:spacing w:after="0" w:line="240" w:lineRule="auto"/>
      </w:pPr>
      <w:r>
        <w:separator/>
      </w:r>
    </w:p>
  </w:footnote>
  <w:footnote w:type="continuationSeparator" w:id="0">
    <w:p w14:paraId="180EF1B5" w14:textId="77777777" w:rsidR="003E6F6A" w:rsidRDefault="003E6F6A"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E6F6A"/>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6538"/>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yperlink" Target="mailto:liz58193@pennwest.edu"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24</Pages>
  <Words>4724</Words>
  <Characters>26933</Characters>
  <Application>Microsoft Office Word</Application>
  <DocSecurity>0</DocSecurity>
  <Lines>561</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769</cp:revision>
  <dcterms:created xsi:type="dcterms:W3CDTF">2025-09-23T05:07:00Z</dcterms:created>
  <dcterms:modified xsi:type="dcterms:W3CDTF">2025-10-16T17:08:00Z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