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70545429"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321696" w:rsidRPr="00321696">
              <w:rPr>
                <w:rFonts w:ascii="Times New Roman" w:hAnsi="Times New Roman" w:cs="Times New Roman"/>
                <w:noProof/>
                <w:webHidden/>
                <w:sz w:val="24"/>
                <w:szCs w:val="24"/>
              </w:rPr>
              <w:t>2</w:t>
            </w:r>
            <w:r w:rsidR="00321696" w:rsidRPr="00321696">
              <w:rPr>
                <w:rFonts w:ascii="Times New Roman" w:hAnsi="Times New Roman" w:cs="Times New Roman"/>
                <w:noProof/>
                <w:webHidden/>
                <w:sz w:val="24"/>
                <w:szCs w:val="24"/>
              </w:rPr>
              <w:fldChar w:fldCharType="end"/>
            </w:r>
          </w:hyperlink>
        </w:p>
        <w:p w14:paraId="7038EA2E" w14:textId="698BEC8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527CE5F0" w14:textId="1087E974"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1C8E1283" w14:textId="147DD5F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684168F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37E1D2D6"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67D1934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6A3DA97F"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3E1B7447"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ECF0CE9" w14:textId="035C564E"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089B128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2902FE8B"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60686028"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1DE265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15</w:t>
            </w:r>
            <w:r w:rsidRPr="00321696">
              <w:rPr>
                <w:rFonts w:ascii="Times New Roman" w:hAnsi="Times New Roman" w:cs="Times New Roman"/>
                <w:noProof/>
                <w:webHidden/>
                <w:sz w:val="24"/>
                <w:szCs w:val="24"/>
              </w:rPr>
              <w:fldChar w:fldCharType="end"/>
            </w:r>
          </w:hyperlink>
        </w:p>
        <w:p w14:paraId="51EEEC88" w14:textId="21EA4E4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5F4EF3A" w14:textId="2E10749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308A6B66" w14:textId="08A451E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19</w:t>
            </w:r>
            <w:r w:rsidRPr="00321696">
              <w:rPr>
                <w:rFonts w:ascii="Times New Roman" w:hAnsi="Times New Roman" w:cs="Times New Roman"/>
                <w:noProof/>
                <w:webHidden/>
                <w:sz w:val="24"/>
                <w:szCs w:val="24"/>
              </w:rPr>
              <w:fldChar w:fldCharType="end"/>
            </w:r>
          </w:hyperlink>
        </w:p>
        <w:p w14:paraId="4946EE0A" w14:textId="7E7DF4F6"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lastRenderedPageBreak/>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 xml:space="preserve">The </w:t>
      </w:r>
      <w:r w:rsidR="0035404D" w:rsidRPr="009468C2">
        <w:rPr>
          <w:rFonts w:ascii="Times New Roman" w:hAnsi="Times New Roman" w:cs="Times New Roman"/>
          <w:sz w:val="24"/>
          <w:szCs w:val="24"/>
        </w:rPr>
        <w:lastRenderedPageBreak/>
        <w:t>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lastRenderedPageBreak/>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o are already short on 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lastRenderedPageBreak/>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w:t>
      </w:r>
      <w:r w:rsidR="00E055FA" w:rsidRPr="009468C2">
        <w:rPr>
          <w:rFonts w:ascii="Times New Roman" w:hAnsi="Times New Roman" w:cs="Times New Roman"/>
          <w:sz w:val="24"/>
          <w:szCs w:val="24"/>
        </w:rPr>
        <w:lastRenderedPageBreak/>
        <w:t>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 xml:space="preserve">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01DFA221"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r w:rsidR="00FA7CE1" w:rsidRPr="009468C2">
        <w:rPr>
          <w:rFonts w:ascii="Times New Roman" w:hAnsi="Times New Roman" w:cs="Times New Roman"/>
          <w:sz w:val="24"/>
          <w:szCs w:val="24"/>
        </w:rPr>
        <w:t>users</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lastRenderedPageBreak/>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which can then lead to the accurate data being displayed for all of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w:t>
      </w:r>
      <w:r w:rsidR="00722BF7" w:rsidRPr="009468C2">
        <w:rPr>
          <w:rFonts w:ascii="Times New Roman" w:hAnsi="Times New Roman" w:cs="Times New Roman"/>
          <w:sz w:val="24"/>
          <w:szCs w:val="24"/>
        </w:rPr>
        <w:lastRenderedPageBreak/>
        <w:t>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lastRenderedPageBreak/>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w:t>
      </w:r>
      <w:r w:rsidR="009C430A" w:rsidRPr="009468C2">
        <w:rPr>
          <w:rFonts w:ascii="Times New Roman" w:hAnsi="Times New Roman" w:cs="Times New Roman"/>
          <w:sz w:val="24"/>
          <w:szCs w:val="24"/>
        </w:rPr>
        <w:lastRenderedPageBreak/>
        <w:t xml:space="preserve">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is capable of managing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12524"/>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and well organized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w:t>
      </w:r>
      <w:r w:rsidRPr="00621D7E">
        <w:rPr>
          <w:rFonts w:ascii="Times New Roman" w:hAnsi="Times New Roman" w:cs="Times New Roman"/>
          <w:sz w:val="24"/>
          <w:szCs w:val="24"/>
        </w:rPr>
        <w:lastRenderedPageBreak/>
        <w:t xml:space="preserve">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are in agreement).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.5 inch indent for the hanging indent). If you have any following questions, please feel free to email me at </w:t>
      </w:r>
      <w:hyperlink r:id="rId27"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6538"/>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332"/>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A7CE1"/>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yperlink" Target="mailto:liz58193@pennwest.edu"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24</Pages>
  <Words>4505</Words>
  <Characters>27151</Characters>
  <Application>Microsoft Office Word</Application>
  <DocSecurity>0</DocSecurity>
  <Lines>565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31457</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771</cp:revision>
  <dcterms:created xsi:type="dcterms:W3CDTF">2025-09-23T05:07:00Z</dcterms:created>
  <dcterms:modified xsi:type="dcterms:W3CDTF">2025-10-16T17:11:00Z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