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das</w:t>
      </w:r>
      <w:r>
        <w:t xml:space="preserve"> </w:t>
      </w:r>
      <w:r>
        <w:t xml:space="preserve">decisões</w:t>
      </w:r>
      <w:r>
        <w:t xml:space="preserve"> </w:t>
      </w:r>
      <w:r>
        <w:t xml:space="preserve">do</w:t>
      </w:r>
      <w:r>
        <w:t xml:space="preserve"> </w:t>
      </w:r>
      <w:r>
        <w:t xml:space="preserve">Tribunal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 Depois disso, os dados foram manuseados e limpados para posterior análise. Foram mantidos somente os casos de apelação criminal. Além disso, como são poucos os casos anteriores a 1992, preferimos manter somente as decisões de 1992 a 2017. Ao final, o número baixou para 75.653 casos. Segue abaixo um gráfico com os respectivos valores ano a ano.</w:t>
      </w:r>
    </w:p>
    <w:p>
      <w:pPr>
        <w:pStyle w:val="BodyText"/>
      </w:pPr>
      <w:r>
        <w:t xml:space="preserve">Fica absolutamente evidente que a unanimidade predomina nas decisões. Por outro lado, não se pode afirmar que a unanimidade tende a aumentar para todas as turmas criminais. Do gráfico em que constam as proporções dos votos, é possível verificar que o percentual de votação por maioria em oposição à uninimidade não segue padrão algum. Isso, não obstante, não se aplica à terceira turma, onde a uninimidade tende assumir a totalidade dos votos.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volucao"/>
      <w:bookmarkEnd w:id="25"/>
      <w:r>
        <w:t xml:space="preserve">Evolução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erceira-turma"/>
      <w:bookmarkEnd w:id="27"/>
      <w:r>
        <w:t xml:space="preserve">Terceira Turma</w:t>
      </w:r>
    </w:p>
    <w:p>
      <w:pPr>
        <w:pStyle w:val="FirstParagraph"/>
      </w:pPr>
      <w:r>
        <w:t xml:space="preserve">A Terceira Turma foi criada em 2012. É a mais nova e aquela que apresenta mais clara variação nos dados. Do gráfico abaixo, verifica-se que a unanimidade tende a ser maior a cada ano. Os votos por maioria se aproximam de zero a cada ano, enquanto que a votação por unanimidade se aproxima de 100%.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761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das decisões do Tribunal de Justiça</dc:title>
  <dc:creator>Ivan</dc:creator>
  <dcterms:created xsi:type="dcterms:W3CDTF">2017-07-11T01:50:03Z</dcterms:created>
  <dcterms:modified xsi:type="dcterms:W3CDTF">2017-07-11T01:50:03Z</dcterms:modified>
</cp:coreProperties>
</file>