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das</w:t>
      </w:r>
      <w:r>
        <w:t xml:space="preserve"> </w:t>
      </w:r>
      <w:r>
        <w:t xml:space="preserve">decisões</w:t>
      </w:r>
      <w:r>
        <w:t xml:space="preserve"> </w:t>
      </w:r>
      <w:r>
        <w:t xml:space="preserve">do</w:t>
      </w:r>
      <w:r>
        <w:t xml:space="preserve"> </w:t>
      </w:r>
      <w:r>
        <w:t xml:space="preserve">Tribunal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 Depois disso, os dados foram manuseados e limpados para posterior análise. Foram mantidos somente os casos de apelação criminal. Além disso, como são poucos os casos anteriores a 1992, preferimos manter somente as decisões de 1992 a 2017. Ao final, o número baixou para 75.653 casos. Segue abaixo um gráfico com os respectivos valores ano a ano.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volucao"/>
      <w:bookmarkEnd w:id="24"/>
      <w:r>
        <w:t xml:space="preserve">Evolução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erceira-turma"/>
      <w:bookmarkEnd w:id="26"/>
      <w:r>
        <w:t xml:space="preserve">Terceira Turma</w:t>
      </w:r>
    </w:p>
    <w:p>
      <w:pPr>
        <w:pStyle w:val="FirstParagraph"/>
      </w:pPr>
      <w:r>
        <w:t xml:space="preserve">A Terceira Turma foi criada em 2012. É a mais nova e aquela que apresenta mais clara variação nos dados.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c74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das decisões do Tribunal de Justiça</dc:title>
  <dc:creator>Ivan</dc:creator>
  <dcterms:created xsi:type="dcterms:W3CDTF">2017-07-10T20:34:50Z</dcterms:created>
  <dcterms:modified xsi:type="dcterms:W3CDTF">2017-07-10T20:34:50Z</dcterms:modified>
</cp:coreProperties>
</file>