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Tempo até a decisão de tutela em ações de medicamentos não padronizados</w:t>
      </w:r>
    </w:p>
    <w:p>
      <w:pPr>
        <w:pStyle w:val="Subtitle"/>
      </w:pPr>
      <w:r>
        <w:t xml:space="preserve">Comparação antes e depois do Tema 1234 do STF</w:t>
      </w:r>
    </w:p>
    <w:p>
      <w:pPr>
        <w:pStyle w:val="Author"/>
      </w:pPr>
      <w:r>
        <w:t xml:space="preserve">Curso de Jurimetria (FDRP)</w:t>
      </w:r>
    </w:p>
    <w:p>
      <w:pPr>
        <w:pStyle w:val="Date"/>
      </w:pPr>
      <w:r>
        <w:t xml:space="preserve">2026-10-30</w:t>
      </w:r>
    </w:p>
    <w:bookmarkStart w:id="9" w:name="pergunta"/>
    <w:p>
      <w:pPr>
        <w:pStyle w:val="Heading2"/>
      </w:pPr>
      <w:r>
        <w:t xml:space="preserve">Pergunta</w:t>
      </w:r>
    </w:p>
    <w:p>
      <w:pPr>
        <w:pStyle w:val="FirstParagraph"/>
      </w:pPr>
      <w:r>
        <w:t xml:space="preserve">Quanto tempo passa entre o ajuizamento de uma ação de fornecimento de medicamento não padronizado e a primeira decisão sobre o pedido de tutela de urgência? Esse tempo mudou nas ações ajuizadas depois do Tema 1234 do STF?</w:t>
      </w:r>
    </w:p>
    <w:bookmarkEnd w:id="9"/>
    <w:bookmarkStart w:id="10" w:name="dados-e-método"/>
    <w:p>
      <w:pPr>
        <w:pStyle w:val="Heading2"/>
      </w:pPr>
      <w:r>
        <w:t xml:space="preserve">Dados e método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Fonte:</w:t>
      </w:r>
      <w:r>
        <w:t xml:space="preserve"> </w:t>
      </w:r>
      <w:r>
        <w:t xml:space="preserve">API pública do DataJud (CNJ), índices de primeiro grau dos 27 tribunais de justiça estaduais, coletados com o pacote</w:t>
      </w:r>
      <w:r>
        <w:t xml:space="preserve"> </w:t>
      </w:r>
      <w:r>
        <w:rPr>
          <w:rStyle w:val="VerbatimChar"/>
        </w:rPr>
        <w:t xml:space="preserve">datajud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Recorte:</w:t>
      </w:r>
      <w:r>
        <w:t xml:space="preserve"> </w:t>
      </w:r>
      <w:r>
        <w:t xml:space="preserve">assunto 12495 da TPU (fornecimento de medicamento não padronizado), classe procedimento comum cível (código 7), ajuizamento a partir de 01/01/2022. Ficaram 17.918 processos de 27 tribunais. A coleta não filtrou a classe, que foi aplicada depois, exceto no TJMG e no TJRS. Nesses dois, o índice só respondeu a consultas já restritas à classe 7, divididas por município do órgão julgador.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Marco:</w:t>
      </w:r>
      <w:r>
        <w:t xml:space="preserve"> </w:t>
      </w:r>
      <w:r>
        <w:t xml:space="preserve">19/09/2024, data da publicação da ata do julgamento do Tema 1234, fixada pelo STF como parâmetro para as novas regras de competência. O período de cada processo depende da data de ajuizamento.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Evento de interesse:</w:t>
      </w:r>
      <w:r>
        <w:t xml:space="preserve"> </w:t>
      </w:r>
      <w:r>
        <w:t xml:space="preserve">primeiro movimento de decisão sobre antecipação de tutela ou liminar, seja concessão, concessão parcial ou indeferimento (códigos 332, 889, 785, 339, 892 e 792).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Riscos concorrentes:</w:t>
      </w:r>
      <w:r>
        <w:t xml:space="preserve"> </w:t>
      </w:r>
      <w:r>
        <w:t xml:space="preserve">desfechos que impedem a decisão de tutela no processo, ou seja, incompetência (sem decisão de tutela posterior), sentença de mérito sem tutela prévia e outros encerramentos (acordo, desistência, perda do objeto, óbito e extinção sem mérito).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Censura:</w:t>
      </w:r>
      <w:r>
        <w:t xml:space="preserve"> </w:t>
      </w:r>
      <w:r>
        <w:t xml:space="preserve">processos sem nenhum desses movimentos até a última atualização no DataJud.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Análise:</w:t>
      </w:r>
      <w:r>
        <w:t xml:space="preserve"> </w:t>
      </w:r>
      <w:r>
        <w:t xml:space="preserve">incidência acumulada de Aalen–Johansen por período, com teste de Gray. Para resumir o efeito do período, usamos um modelo de Cox causa-específico (estratificado por tribunal) e um modelo de Fine–Gray (com tribunal como covariável).</w:t>
      </w:r>
    </w:p>
    <w:bookmarkEnd w:id="10"/>
    <w:bookmarkStart w:id="23" w:name="resultados"/>
    <w:p>
      <w:pPr>
        <w:pStyle w:val="Heading2"/>
      </w:pPr>
      <w:r>
        <w:t xml:space="preserve">Resultados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vent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1: Desfecho observado por período de ajuizamento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Desfecho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Antes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Depois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decisão de tutela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censurado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incompetência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sentença sem tutela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extinção sem mérito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desistência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óbito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perda do objeto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acordo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Antes do Tema 1234, 53,6% dos processos já tinham decisão de tutela em 30 dias. Depois, essa proporção caiu para 40,0%. Em 90 dias, os valores foram 66,7% e 59,2%. A diferença diminui com o tempo: em um ano, as incidências são 74,0% e 72,2% (</w:t>
      </w:r>
      <w:hyperlink w:anchor="fig-tutela">
        <w:r>
          <w:rPr>
            <w:rStyle w:val="Hyperlink"/>
          </w:rPr>
          <w:t xml:space="preserve">Figura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tutela"/>
          <w:p>
            <w:pPr>
              <w:pStyle w:val="Compact"/>
              <w:jc w:val="center"/>
            </w:pPr>
            <w:r>
              <w:drawing>
                <wp:inline>
                  <wp:extent cx="4800600" cy="37719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resultados/cif_tutela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7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Incidência acumulada da primeira decisão de tutela, por período de ajuizamento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ci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2: Incidência acumulada da decisão de tutela (IC 95%)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Antes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Depois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32,4% (31,4% a 33,4%)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20,9% (20,1% a 21,7%)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53,6% (52,5% a 54,7%)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40,0% (39,0% a 40,9%)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66,7% (65,6% a 67,7%)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59,2% (58,2% a 60,2%)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71,5% (70,5% a 72,5%)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67,5% (66,5% a 68,5%)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74,0% (73,0% a 74,9%)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72,2% (71,2% a 73,2%)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O teste de Gray rejeita a igualdade das curvas de incidência da decisão de tutela (p &lt; 0,001).</w:t>
      </w:r>
    </w:p>
    <w:p>
      <w:pPr>
        <w:pStyle w:val="BodyText"/>
      </w:pPr>
      <w:r>
        <w:t xml:space="preserve">No modelo de Fine–Gray, a razão de subdistribuição para o período posterior foi 0,80 (IC 95%: 0,77 a 0,82). Isso indica uma incidência menor de decisão de tutela ao longo do tempo. No Cox causa-específico, a razão de taxas foi 0,84 (0,81 a 0,87). Porém o teste de Schoenfeld rejeita a proporcionalidade (p &lt; 0,001): o efeito se concentra nas primeiras semanas. Por isso, a leitura principal deve vir das incidências em horizontes fixos, e não de uma razão única.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desfechos"/>
          <w:p>
            <w:pPr>
              <w:pStyle w:val="Compact"/>
              <w:jc w:val="center"/>
            </w:pPr>
            <w:r>
              <w:drawing>
                <wp:inline>
                  <wp:extent cx="5334000" cy="36671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resultados/cif_desfechos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7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Incidência acumulada de cada desfecho, por período</w:t>
            </w:r>
          </w:p>
          <w:bookmarkEnd w:id="20"/>
        </w:tc>
      </w:tr>
    </w:tbl>
    <w:p>
      <w:pPr>
        <w:pStyle w:val="BodyText"/>
      </w:pPr>
      <w:r>
        <w:t xml:space="preserve">A incompetência ganha peso depois do marco (</w:t>
      </w:r>
      <w:hyperlink w:anchor="fig-desfechos">
        <w:r>
          <w:rPr>
            <w:rStyle w:val="Hyperlink"/>
          </w:rPr>
          <w:t xml:space="preserve">Figura 2</w:t>
        </w:r>
      </w:hyperlink>
      <w:r>
        <w:t xml:space="preserve">). Isso é coerente com o deslocamento de parte das ações para a Justiça Federal previsto no Tema 1234.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tutel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3: Resultado da primeira decisão de tutela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Antes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Depois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concedida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4.245 (70,1%)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3.432 (52,6%)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concedida em parte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370 (6,1%)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302 (4,6%)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1.443 (23,8%)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2.789 (42,8%)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Entre as decisões de tutela, a proporção de indeferimentos passou de 23,8% para 42,8% (</w:t>
      </w:r>
      <w:hyperlink w:anchor="tbl-tutela">
        <w:r>
          <w:rPr>
            <w:rStyle w:val="Hyperlink"/>
          </w:rPr>
          <w:t xml:space="preserve">Tabela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tribu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Tabela 4: Razão de taxas (Cox causa-específico) do período posterior, por tribunal com ao menos 100 processos em cada período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Tribunal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Razão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inf.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sup.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TJBA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0,028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TJDFT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0,488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TJGO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0,273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0,251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TJRJ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TJRN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0,426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0,241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0,141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TJSP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TJTO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0,006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O efeito não é uniforme (</w:t>
      </w:r>
      <w:hyperlink w:anchor="tbl-tribunal">
        <w:r>
          <w:rPr>
            <w:rStyle w:val="Hyperlink"/>
          </w:rPr>
          <w:t xml:space="preserve">Tabela 4</w:t>
        </w:r>
      </w:hyperlink>
      <w:r>
        <w:t xml:space="preserve">). Em 5 tribunais, a taxa de decisão de tutela caiu de forma significativa depois do marco. Em 3, ela aumentou, e nos demais a diferença não é significativa.</w:t>
      </w:r>
    </w:p>
    <w:bookmarkEnd w:id="23"/>
    <w:bookmarkStart w:id="24" w:name="limitações"/>
    <w:p>
      <w:pPr>
        <w:pStyle w:val="Heading2"/>
      </w:pPr>
      <w:r>
        <w:t xml:space="preserve">Limitações</w:t>
      </w:r>
    </w:p>
    <w:p>
      <w:pPr>
        <w:pStyle w:val="Compact"/>
        <w:numPr>
          <w:ilvl w:val="0"/>
          <w:numId w:val="1002"/>
        </w:numPr>
      </w:pPr>
      <w:r>
        <w:t xml:space="preserve">O DataJud não informa se houve pedido de tutela. Processos sem pedido aparecem como censurados ou terminam em outro desfecho, o que reduz a incidência nos dois períodos.</w:t>
      </w:r>
    </w:p>
    <w:p>
      <w:pPr>
        <w:pStyle w:val="Compact"/>
        <w:numPr>
          <w:ilvl w:val="0"/>
          <w:numId w:val="1002"/>
        </w:numPr>
      </w:pPr>
      <w:r>
        <w:t xml:space="preserve">Os movimentos 12444 e 12455 (</w:t>
      </w:r>
      <w:r>
        <w:t xml:space="preserve">“deferimento”</w:t>
      </w:r>
      <w:r>
        <w:t xml:space="preserve"> </w:t>
      </w:r>
      <w:r>
        <w:t xml:space="preserve">e</w:t>
      </w:r>
      <w:r>
        <w:t xml:space="preserve"> </w:t>
      </w:r>
      <w:r>
        <w:t xml:space="preserve">“indeferimento”</w:t>
      </w:r>
      <w:r>
        <w:t xml:space="preserve">, sem complemento) ficaram fora do evento, porque também registram outras decisões, como a gratuidade da justiça.</w:t>
      </w:r>
    </w:p>
    <w:p>
      <w:pPr>
        <w:pStyle w:val="Compact"/>
        <w:numPr>
          <w:ilvl w:val="0"/>
          <w:numId w:val="1002"/>
        </w:numPr>
      </w:pPr>
      <w:r>
        <w:t xml:space="preserve">A classe e o órgão informados são os atuais. Processos remetidos à Justiça Federal podem sair do índice estadual, e o DataJud omite os processos sigilosos.</w:t>
      </w:r>
    </w:p>
    <w:p>
      <w:pPr>
        <w:pStyle w:val="Compact"/>
        <w:numPr>
          <w:ilvl w:val="0"/>
          <w:numId w:val="1002"/>
        </w:numPr>
      </w:pPr>
      <w:r>
        <w:t xml:space="preserve">O período posterior tem seguimento mais curto. As estimativas em horizontes longos dependem sobretudo dos processos ajuizados antes do marco.</w:t>
      </w:r>
    </w:p>
    <w:p>
      <w:pPr>
        <w:pStyle w:val="Compact"/>
        <w:numPr>
          <w:ilvl w:val="0"/>
          <w:numId w:val="1002"/>
        </w:numPr>
      </w:pPr>
      <w:r>
        <w:t xml:space="preserve">O número de processos ajuizados entre 2022 e 2024 é menor que o do período posterior, o que pode indicar cobertura incompleta do DataJud para os anos mais antigos.</w:t>
      </w:r>
    </w:p>
    <w:p>
      <w:pPr>
        <w:pStyle w:val="Compact"/>
        <w:numPr>
          <w:ilvl w:val="0"/>
          <w:numId w:val="1002"/>
        </w:numPr>
      </w:pPr>
      <w:r>
        <w:t xml:space="preserve">O mesmo movimento pode ser lançado de maneiras diferentes em cada tribunal. Por isso, os modelos levam o tribunal em conta.</w:t>
      </w:r>
    </w:p>
    <w:p>
      <w:pPr>
        <w:pStyle w:val="FirstParagraph"/>
      </w:pPr>
      <w:r>
        <w:rPr>
          <w:i/>
          <w:iCs/>
        </w:rPr>
        <w:t xml:space="preserve">Base: processos: 17918; tribunais: 27; gerado em: 2026-10-30</w:t>
      </w:r>
      <w:r>
        <w:rPr>
          <w:i/>
          <w:iCs/>
        </w:rPr>
        <w:t xml:space="preserve"> 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 até a decisão de tutela em ações de medicamentos não padronizados</dc:title>
  <dc:creator>Curso de Jurimetria (FDRP)</dc:creator>
  <dc:language>pt-BR</dc:language>
  <cp:keywords/>
  <dcterms:created xsi:type="dcterms:W3CDTF">2026-10-30T07:42:57Z</dcterms:created>
  <dcterms:modified xsi:type="dcterms:W3CDTF">2026-10-30T07:42:57Z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2026-10-30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Comparação antes e depois do Tema 1234 do STF</vt:lpwstr>
  </property>
  <property fmtid="{D5CDD505-2E9C-101B-9397-08002B2CF9AE}" pid="12" name="toc-title">
    <vt:lpwstr>Índice</vt:lpwstr>
  </property>
</Properties>
</file>