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Negativação</w:t>
      </w:r>
    </w:p>
    <w:p>
      <w:pPr>
        <w:pStyle w:val="Author"/>
      </w:pPr>
      <w:r>
        <w:t xml:space="preserve">Joice</w:t>
      </w:r>
      <w:r>
        <w:t xml:space="preserve"> </w:t>
      </w:r>
      <w:r>
        <w:t xml:space="preserve">Rodrigues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introdução"/>
    <w:p>
      <w:pPr>
        <w:pStyle w:val="Titre2"/>
      </w:pPr>
      <w:r>
        <w:t xml:space="preserve">Introdução</w:t>
      </w:r>
    </w:p>
    <w:p>
      <w:pPr>
        <w:pStyle w:val="FirstParagraph"/>
      </w:pPr>
      <w:r>
        <w:t xml:space="preserve">A presente pesquisa tem como objetivo verificar se as decisões de</w:t>
      </w:r>
      <w:r>
        <w:t xml:space="preserve"> </w:t>
      </w:r>
      <w:r>
        <w:t xml:space="preserve">primeira instância do Tribunal de Justiça de São Paulo (TJSP), em</w:t>
      </w:r>
      <w:r>
        <w:t xml:space="preserve"> </w:t>
      </w:r>
      <w:r>
        <w:t xml:space="preserve">procedimentos comuns cíveis, alegando inscrição indevida no cadastro de</w:t>
      </w:r>
      <w:r>
        <w:t xml:space="preserve"> </w:t>
      </w:r>
      <w:r>
        <w:t xml:space="preserve">inadimplentes, têm maior ou menor probabilidade de procedência quando o</w:t>
      </w:r>
      <w:r>
        <w:t xml:space="preserve"> </w:t>
      </w:r>
      <w:r>
        <w:t xml:space="preserve">requerente é beneficiário da justiça gratuita.</w:t>
      </w:r>
    </w:p>
    <w:p>
      <w:pPr>
        <w:pStyle w:val="Corpsdetexte"/>
      </w:pPr>
      <w:r>
        <w:t xml:space="preserve">Igualmente, a pesquisa visa saber se o valor arbitrado na sentença, em</w:t>
      </w:r>
      <w:r>
        <w:t xml:space="preserve"> </w:t>
      </w:r>
      <w:r>
        <w:t xml:space="preserve">virtude da procedência, é maior ou menor se o requerente é beneficiário</w:t>
      </w:r>
      <w:r>
        <w:t xml:space="preserve"> </w:t>
      </w:r>
      <w:r>
        <w:t xml:space="preserve">da gratuidade da justiça.</w:t>
      </w:r>
    </w:p>
    <w:bookmarkEnd w:id="20"/>
    <w:bookmarkStart w:id="23" w:name="procedimento-metodológico"/>
    <w:p>
      <w:pPr>
        <w:pStyle w:val="Titre2"/>
      </w:pPr>
      <w:r>
        <w:t xml:space="preserve">Procedimento metodológico</w:t>
      </w:r>
    </w:p>
    <w:p>
      <w:pPr>
        <w:pStyle w:val="FirstParagraph"/>
      </w:pPr>
      <w:r>
        <w:t xml:space="preserve">A pesquisa realizou uma coleta automatizada de</w:t>
      </w:r>
      <w:r>
        <w:t xml:space="preserve"> </w:t>
      </w:r>
      <w:hyperlink r:id="rId21">
        <w:r>
          <w:rPr>
            <w:rStyle w:val="Lienhypertexte"/>
          </w:rPr>
          <w:t xml:space="preserve">julgados de primeira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instância do TJSP</w:t>
        </w:r>
      </w:hyperlink>
      <w:r>
        <w:t xml:space="preserve"> </w:t>
      </w:r>
      <w:r>
        <w:t xml:space="preserve">delimitando a consulta</w:t>
      </w:r>
      <w:r>
        <w:t xml:space="preserve"> </w:t>
      </w:r>
      <w:r>
        <w:t xml:space="preserve">para o ano de 2021, para a classe processual</w:t>
      </w:r>
      <w:r>
        <w:t xml:space="preserve"> </w:t>
      </w:r>
      <w:r>
        <w:t xml:space="preserve">“</w:t>
      </w:r>
      <w:r>
        <w:t xml:space="preserve">procedimento comum cível</w:t>
      </w:r>
      <w:r>
        <w:t xml:space="preserve">”</w:t>
      </w:r>
      <w:r>
        <w:t xml:space="preserve"> </w:t>
      </w:r>
      <w:r>
        <w:t xml:space="preserve">e para o assunto</w:t>
      </w:r>
      <w:r>
        <w:t xml:space="preserve"> </w:t>
      </w:r>
      <w:r>
        <w:t xml:space="preserve">“</w:t>
      </w:r>
      <w:r>
        <w:t xml:space="preserve">inscrição indevida no cadastro de inandimplentes</w:t>
      </w:r>
      <w:r>
        <w:t xml:space="preserve">”</w:t>
      </w:r>
      <w:r>
        <w:t xml:space="preserve">.</w:t>
      </w:r>
    </w:p>
    <w:p>
      <w:pPr>
        <w:pStyle w:val="Corpsdetexte"/>
      </w:pPr>
      <w:r>
        <w:t xml:space="preserve">A coleta foi automatizada usando um pacote de funções escritas em R</w:t>
      </w:r>
      <w:r>
        <w:t xml:space="preserve"> </w:t>
      </w:r>
      <w:r>
        <w:t xml:space="preserve">chamado</w:t>
      </w:r>
      <w:r>
        <w:t xml:space="preserve"> </w:t>
      </w:r>
      <w:hyperlink r:id="rId22">
        <w:r>
          <w:rPr>
            <w:rStyle w:val="Lienhypertexte"/>
          </w:rPr>
          <w:t xml:space="preserve">tjsp</w:t>
        </w:r>
      </w:hyperlink>
      <w:r>
        <w:t xml:space="preserve">. Foram baixados 13.510</w:t>
      </w:r>
      <w:r>
        <w:t xml:space="preserve"> </w:t>
      </w:r>
      <w:r>
        <w:t xml:space="preserve">julgados. Esses julgados foram então classificados conforme o desfecho</w:t>
      </w:r>
      <w:r>
        <w:t xml:space="preserve"> </w:t>
      </w:r>
      <w:r>
        <w:t xml:space="preserve">processual, usando procedimento automatizado. A tabela abaixo mostra os</w:t>
      </w:r>
      <w:r>
        <w:t xml:space="preserve"> </w:t>
      </w:r>
      <w:r>
        <w:t xml:space="preserve">desfechos e suas respectivas quantidades.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572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frequencia</w:t>
            </w:r>
          </w:p>
        </w:tc>
      </w:tr>
      <w:tr>
        <w:trPr>
          <w:cantSplit/>
          <w:trHeight w:val="573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parcialmente procedente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4025</w:t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improcedente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3683</w:t>
            </w:r>
          </w:p>
        </w:tc>
      </w:tr>
      <w:tr>
        <w:trPr>
          <w:cantSplit/>
          <w:trHeight w:val="573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2509</w:t>
            </w:r>
          </w:p>
        </w:tc>
      </w:tr>
      <w:tr>
        <w:trPr>
          <w:cantSplit/>
          <w:trHeight w:val="573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homologacao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1713</w:t>
            </w:r>
          </w:p>
        </w:tc>
      </w:tr>
      <w:tr>
        <w:trPr>
          <w:cantSplit/>
          <w:trHeight w:val="536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extinto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1493</w:t>
            </w:r>
          </w:p>
        </w:tc>
      </w:tr>
      <w:tr>
        <w:trPr>
          <w:cantSplit/>
          <w:trHeight w:val="536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</w:tr>
      <w:tr>
        <w:trPr>
          <w:cantSplit/>
          <w:trHeight w:val="535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deferido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573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prejudicado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35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nulo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35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desistencia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73" w:hRule="auto"/>
        </w:trPr>
        body11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embargos rejeitados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Corpsdetexte"/>
      </w:pPr>
      <w:r>
        <w:t xml:space="preserve">Optou-se por manter somente os julgados que apreciaram o mérito, i.e.,</w:t>
      </w:r>
      <w:r>
        <w:t xml:space="preserve"> </w:t>
      </w:r>
      <w:r>
        <w:t xml:space="preserve">os procedentes, os improcedentes e os parcialmente improcedentes. Quanto</w:t>
      </w:r>
      <w:r>
        <w:t xml:space="preserve"> </w:t>
      </w:r>
      <w:r>
        <w:t xml:space="preserve">aos parcialmente procedentes, estes foram convertidos em procedentes. Os</w:t>
      </w:r>
      <w:r>
        <w:t xml:space="preserve"> </w:t>
      </w:r>
      <w:r>
        <w:t xml:space="preserve">demais foram removidos da base, restando 10.217 julgados.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57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frequencia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improcedente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6534</w:t>
            </w:r>
          </w:p>
        </w:tc>
      </w:tr>
    </w:tbl>
    <w:p>
      <w:pPr>
        <w:pStyle w:val="Corpsdetexte"/>
      </w:pPr>
      <w:r>
        <w:t xml:space="preserve">Em seguida, usaram-se expressões regulares para para classificar os</w:t>
      </w:r>
      <w:r>
        <w:t xml:space="preserve"> </w:t>
      </w:r>
      <w:r>
        <w:t xml:space="preserve">julgados conforme a existência de expressões como dano moral e</w:t>
      </w:r>
      <w:r>
        <w:t xml:space="preserve"> </w:t>
      </w:r>
      <w:r>
        <w:t xml:space="preserve">gratuidade da justiça. Igualmente, os valores arbitrados foram extraídos</w:t>
      </w:r>
      <w:r>
        <w:t xml:space="preserve"> </w:t>
      </w:r>
      <w:r>
        <w:t xml:space="preserve">dos julgados.</w:t>
      </w:r>
    </w:p>
    <w:p>
      <w:pPr>
        <w:pStyle w:val="Corpsdetexte"/>
      </w:pPr>
      <w:r>
        <w:t xml:space="preserve">Posteriormente, foram baixados os metadados processuais a fim de se</w:t>
      </w:r>
      <w:r>
        <w:t xml:space="preserve"> </w:t>
      </w:r>
      <w:r>
        <w:t xml:space="preserve">obter informações acerca das partes. Nem todos os metadados foram</w:t>
      </w:r>
      <w:r>
        <w:t xml:space="preserve"> </w:t>
      </w:r>
      <w:r>
        <w:t xml:space="preserve">baixados, seja porque não estavam disponibilizados, seja porque estavam</w:t>
      </w:r>
      <w:r>
        <w:t xml:space="preserve"> </w:t>
      </w:r>
      <w:r>
        <w:t xml:space="preserve">em segredo de justiça. De modo que dos 10.217 julgados, foi possível</w:t>
      </w:r>
      <w:r>
        <w:t xml:space="preserve"> </w:t>
      </w:r>
      <w:r>
        <w:t xml:space="preserve">recuperar informações de 9.852 partes.</w:t>
      </w:r>
    </w:p>
    <w:p>
      <w:pPr>
        <w:pStyle w:val="Corpsdetexte"/>
      </w:pPr>
      <w:r>
        <w:t xml:space="preserve">As partes foram classificadas conforme requerente e requerido. Os</w:t>
      </w:r>
      <w:r>
        <w:t xml:space="preserve"> </w:t>
      </w:r>
      <w:r>
        <w:t xml:space="preserve">requerentes foram classificados em pessoa física (PF) ou pessoa jurídica</w:t>
      </w:r>
      <w:r>
        <w:t xml:space="preserve"> </w:t>
      </w:r>
      <w:r>
        <w:t xml:space="preserve">(PJ). Os requeridos foram classificados em PF, PJ, banco ou seguradora.</w:t>
      </w:r>
    </w:p>
    <w:p>
      <w:pPr>
        <w:pStyle w:val="Corpsdetexte"/>
      </w:pPr>
      <w:r>
        <w:t xml:space="preserve">Por fim, as bases foram juntadas para formar uma base única com 9.852</w:t>
      </w:r>
      <w:r>
        <w:t xml:space="preserve"> </w:t>
      </w:r>
      <w:r>
        <w:t xml:space="preserve">processos e 9.886 julgados. Essa diferença se deve ao fato de que alguns</w:t>
      </w:r>
      <w:r>
        <w:t xml:space="preserve"> </w:t>
      </w:r>
      <w:r>
        <w:t xml:space="preserve">processos tiveram mais de uma decisão.</w:t>
      </w:r>
    </w:p>
    <w:p>
      <w:pPr>
        <w:pStyle w:val="Corpsdetexte"/>
      </w:pPr>
      <w:r>
        <w:t xml:space="preserve">Os gráficos abaixo mostram as frequências desses dados.</w:t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64008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64008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64008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64008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Para a análise do valor, foram mantidos somente os julgados procedentes.</w:t>
      </w:r>
      <w:r>
        <w:t xml:space="preserve"> </w:t>
      </w:r>
      <w:r>
        <w:t xml:space="preserve">Além disso, foram excluídos os casos em que não foram identificados os</w:t>
      </w:r>
      <w:r>
        <w:t xml:space="preserve"> </w:t>
      </w:r>
      <w:r>
        <w:t xml:space="preserve">valores. Para essa base, permaneceram 5589 julgados. Como vales</w:t>
      </w:r>
      <w:r>
        <w:t xml:space="preserve"> </w:t>
      </w:r>
      <w:r>
        <w:t xml:space="preserve">arbitrados têm alta concentração de valores relativamente pequenos, a</w:t>
      </w:r>
      <w:r>
        <w:t xml:space="preserve"> </w:t>
      </w:r>
      <w:r>
        <w:t xml:space="preserve">distribuição dos dados não é gaussiana, como se infere do gráfico</w:t>
      </w:r>
      <w:r>
        <w:t xml:space="preserve"> </w:t>
      </w:r>
      <w:r>
        <w:t xml:space="preserve">abaixo.</w:t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64008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No entanto, realizada a transformação logarítimica, esses mesmos valores</w:t>
      </w:r>
      <w:r>
        <w:t xml:space="preserve"> </w:t>
      </w:r>
      <w:r>
        <w:t xml:space="preserve">aproximam-se de uma distribuição normal:</w:t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64008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Dessa forma, a análise leverá em conta o logarítimo dos valores.</w:t>
      </w:r>
    </w:p>
    <w:bookmarkEnd w:id="23"/>
    <w:bookmarkStart w:id="26" w:name="análise"/>
    <w:p>
      <w:pPr>
        <w:pStyle w:val="Titre2"/>
      </w:pPr>
      <w:r>
        <w:t xml:space="preserve">Análise</w:t>
      </w:r>
    </w:p>
    <w:p>
      <w:pPr>
        <w:pStyle w:val="FirstParagraph"/>
      </w:pPr>
      <w:r>
        <w:t xml:space="preserve">Foram realizadas duas análises. Uma delas considerou como variável</w:t>
      </w:r>
      <w:r>
        <w:t xml:space="preserve"> </w:t>
      </w:r>
      <w:r>
        <w:t xml:space="preserve">resposta a decisão de mérito. A outra considerou o valor arbitrado. Para</w:t>
      </w:r>
      <w:r>
        <w:t xml:space="preserve"> </w:t>
      </w:r>
      <w:r>
        <w:t xml:space="preserve">a primeira, procedeu-se à regressão logística. Para a segunda, regressão</w:t>
      </w:r>
      <w:r>
        <w:t xml:space="preserve"> </w:t>
      </w:r>
      <w:r>
        <w:t xml:space="preserve">linear lognormal. Abaixo seguem os resultados.</w:t>
      </w:r>
    </w:p>
    <w:bookmarkStart w:id="24" w:name="regressão-linear"/>
    <w:p>
      <w:pPr>
        <w:pStyle w:val="Titre3"/>
      </w:pPr>
      <w:r>
        <w:t xml:space="preserve">Regressão linear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56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p.value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7,808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0,0682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114,46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0,000</w:t>
            </w:r>
          </w:p>
        </w:tc>
      </w:tr>
      <w:tr>
        <w:trPr>
          <w:cantSplit/>
          <w:trHeight w:val="569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requerentePJ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0,406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0,0749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0,000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gratuidadesim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-0,529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0,0320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-16,50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0,000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requeridoPF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-0,379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0,0465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-8,15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0,000</w:t>
            </w:r>
          </w:p>
        </w:tc>
      </w:tr>
      <w:tr>
        <w:trPr>
          <w:cantSplit/>
          <w:trHeight w:val="573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requeridoPJ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-0,288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0,0365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-7,89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0,000</w:t>
            </w:r>
          </w:p>
        </w:tc>
      </w:tr>
      <w:tr>
        <w:trPr>
          <w:cantSplit/>
          <w:trHeight w:val="573" w:hRule="auto"/>
        </w:trPr>
        body6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requeridoseguradora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0,161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0,1814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0,374</w:t>
            </w:r>
          </w:p>
        </w:tc>
      </w:tr>
      <w:tr>
        <w:trPr>
          <w:cantSplit/>
          <w:trHeight w:val="559" w:hRule="auto"/>
        </w:trPr>
        body7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dano_moralsim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0,833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0,0600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0,000</w:t>
            </w:r>
          </w:p>
        </w:tc>
      </w:tr>
    </w:tbl>
    <w:p>
      <w:pPr>
        <w:pStyle w:val="FirstParagraph"/>
      </w:pPr>
      <w:r>
        <w:t xml:space="preserve">Os resultados mostram os beneficiários da justiça gratuida recebem menos que os não beneficiários. Com efeito, os beneficiários devem esperar ganhar (exp(-0.529)-1)*100 = -41,1% em relação aos não beneficiários, i.e, quarenta e um porcento a menos.</w:t>
      </w:r>
    </w:p>
    <w:p>
      <w:pPr>
        <w:pStyle w:val="Corpsdetexte"/>
      </w:pPr>
      <w:r>
        <w:t xml:space="preserve">Por sua vez, quando há dano moral, (exp(0.833)-1)*100 = 130%, espera-se ganhar cento e trinta porcento a mais.</w:t>
      </w:r>
    </w:p>
    <w:bookmarkEnd w:id="24"/>
    <w:bookmarkStart w:id="25" w:name="regressão-logística"/>
    <w:p>
      <w:pPr>
        <w:pStyle w:val="Titre3"/>
      </w:pPr>
      <w:r>
        <w:t xml:space="preserve">Regressão logística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56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p.value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1,2856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0,0992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12,962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0,000</w:t>
            </w:r>
          </w:p>
        </w:tc>
      </w:tr>
      <w:tr>
        <w:trPr>
          <w:cantSplit/>
          <w:trHeight w:val="569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requerentePJ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0,1834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5,776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0,000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requeridoPF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-0,1309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0,0619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-2,115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0,034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requeridoPJ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0,1178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0,0516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0,022</w:t>
            </w:r>
          </w:p>
        </w:tc>
      </w:tr>
      <w:tr>
        <w:trPr>
          <w:cantSplit/>
          <w:trHeight w:val="573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requeridoseguradora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0,5109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0,3620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0,158</w:t>
            </w:r>
          </w:p>
        </w:tc>
      </w:tr>
      <w:tr>
        <w:trPr>
          <w:cantSplit/>
          <w:trHeight w:val="573" w:hRule="auto"/>
        </w:trPr>
        body6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gratuidadesim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-1,0020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0,0502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-19,955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0,000</w:t>
            </w:r>
          </w:p>
        </w:tc>
      </w:tr>
      <w:tr>
        <w:trPr>
          <w:cantSplit/>
          <w:trHeight w:val="559" w:hRule="auto"/>
        </w:trPr>
        body7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dano_moralsim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-0,0744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0,0864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-0,861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0,389</w:t>
            </w:r>
          </w:p>
        </w:tc>
      </w:tr>
    </w:tbl>
    <w:p>
      <w:pPr>
        <w:pStyle w:val="FirstParagraph"/>
      </w:pPr>
      <w:r>
        <w:t xml:space="preserve">Os resultados mostram que o beneficiário da justiça não gratuita tem 2.72 (1/exp(-1.0020)) vezes mais chances de ganhar a ação que um beneficiário da justiça gratuita.</w:t>
      </w:r>
    </w:p>
    <w:p>
      <w:pPr>
        <w:pStyle w:val="Corpsdetexte"/>
      </w:pPr>
      <w:r>
        <w:t xml:space="preserve">Embora as diferencas se mostrem significativas para todas as variáveis, o modelo necessita de melhor ajuste para alcançar bons resultados preditivos: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57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decisao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predito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improcedente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improcedente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2759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improcedente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improcedente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3524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procedente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2800</w:t>
            </w:r>
          </w:p>
        </w:tc>
      </w:tr>
    </w:tbl>
    <w:bookmarkEnd w:id="25"/>
    <w:bookmarkEnd w:id="26"/>
    <w:bookmarkStart w:id="44" w:name="bibliografia"/>
    <w:p>
      <w:pPr>
        <w:pStyle w:val="Titre2"/>
      </w:pPr>
      <w:r>
        <w:t xml:space="preserve">Bibliografia</w:t>
      </w:r>
    </w:p>
    <w:bookmarkStart w:id="43" w:name="refs"/>
    <w:bookmarkStart w:id="28" w:name="ref-rmarkdown1"/>
    <w:p>
      <w:pPr>
        <w:pStyle w:val="Bibliographie"/>
      </w:pPr>
      <w:r>
        <w:t xml:space="preserve">ALLAIRE, JJ; XIE, Yihui; MCPHERSON, Jonathan;</w:t>
      </w:r>
      <w:r>
        <w:t xml:space="preserve"> </w:t>
      </w:r>
      <w:r>
        <w:rPr>
          <w:iCs/>
          <w:i/>
        </w:rPr>
        <w:t xml:space="preserve">et al</w:t>
      </w:r>
      <w:r>
        <w:t xml:space="preserve">.</w:t>
      </w:r>
      <w:r>
        <w:t xml:space="preserve"> </w:t>
      </w:r>
      <w:r>
        <w:rPr>
          <w:bCs/>
          <w:b/>
        </w:rPr>
        <w:t xml:space="preserve">rmarkdown: Dynamic Documents for R</w:t>
      </w:r>
      <w:r>
        <w:t xml:space="preserve">. [s.l.: s.n.], 2021. Disponível em: &lt;</w:t>
      </w:r>
      <w:hyperlink r:id="rId27">
        <w:r>
          <w:rPr>
            <w:rStyle w:val="Lienhypertexte"/>
          </w:rPr>
          <w:t xml:space="preserve">https://github.com/rstudio/rmarkdown</w:t>
        </w:r>
      </w:hyperlink>
      <w:r>
        <w:t xml:space="preserve">&gt;.</w:t>
      </w:r>
    </w:p>
    <w:bookmarkEnd w:id="28"/>
    <w:bookmarkStart w:id="30" w:name="ref-ggplot2"/>
    <w:p>
      <w:pPr>
        <w:pStyle w:val="Bibliographie"/>
      </w:pPr>
      <w:r>
        <w:t xml:space="preserve">WICKHAM, Hadley.</w:t>
      </w:r>
      <w:r>
        <w:t xml:space="preserve"> </w:t>
      </w:r>
      <w:r>
        <w:rPr>
          <w:bCs/>
          <w:b/>
        </w:rPr>
        <w:t xml:space="preserve">ggplot2: Elegant Graphics for Data Analysis</w:t>
      </w:r>
      <w:r>
        <w:t xml:space="preserve">. [s.l.]: Springer-Verlag New York, 2016. Disponível em: &lt;</w:t>
      </w:r>
      <w:hyperlink r:id="rId29">
        <w:r>
          <w:rPr>
            <w:rStyle w:val="Lienhypertexte"/>
          </w:rPr>
          <w:t xml:space="preserve">https://ggplot2.tidyverse.org</w:t>
        </w:r>
      </w:hyperlink>
      <w:r>
        <w:t xml:space="preserve">&gt;.</w:t>
      </w:r>
    </w:p>
    <w:bookmarkEnd w:id="30"/>
    <w:bookmarkStart w:id="32" w:name="ref-httr"/>
    <w:p>
      <w:pPr>
        <w:pStyle w:val="Bibliographie"/>
      </w:pPr>
      <w:r>
        <w:t xml:space="preserve">WICKHAM, Hadley.</w:t>
      </w:r>
      <w:r>
        <w:t xml:space="preserve"> </w:t>
      </w:r>
      <w:r>
        <w:rPr>
          <w:bCs/>
          <w:b/>
        </w:rPr>
        <w:t xml:space="preserve">httr: Tools for Working with URLs and HTTP</w:t>
      </w:r>
      <w:r>
        <w:t xml:space="preserve">. [s.l.: s.n.], 2020. Disponível em: &lt;</w:t>
      </w:r>
      <w:hyperlink r:id="rId31">
        <w:r>
          <w:rPr>
            <w:rStyle w:val="Lienhypertexte"/>
          </w:rPr>
          <w:t xml:space="preserve">https://CRAN.R-project.org/package=httr</w:t>
        </w:r>
      </w:hyperlink>
      <w:r>
        <w:t xml:space="preserve">&gt;.</w:t>
      </w:r>
    </w:p>
    <w:bookmarkEnd w:id="32"/>
    <w:bookmarkStart w:id="34" w:name="ref-stringr"/>
    <w:p>
      <w:pPr>
        <w:pStyle w:val="Bibliographie"/>
      </w:pPr>
      <w:r>
        <w:t xml:space="preserve">WICKHAM, Hadley.</w:t>
      </w:r>
      <w:r>
        <w:t xml:space="preserve"> </w:t>
      </w:r>
      <w:r>
        <w:rPr>
          <w:bCs/>
          <w:b/>
        </w:rPr>
        <w:t xml:space="preserve">stringr: Simple, Consistent Wrappers for Common String Operations</w:t>
      </w:r>
      <w:r>
        <w:t xml:space="preserve">. [s.l.: s.n.], 2019. Disponível em: &lt;</w:t>
      </w:r>
      <w:hyperlink r:id="rId33">
        <w:r>
          <w:rPr>
            <w:rStyle w:val="Lienhypertexte"/>
          </w:rPr>
          <w:t xml:space="preserve">https://CRAN.R-project.org/package=stringr</w:t>
        </w:r>
      </w:hyperlink>
      <w:r>
        <w:t xml:space="preserve">&gt;.</w:t>
      </w:r>
    </w:p>
    <w:bookmarkEnd w:id="34"/>
    <w:bookmarkStart w:id="36" w:name="ref-dplyr"/>
    <w:p>
      <w:pPr>
        <w:pStyle w:val="Bibliographie"/>
      </w:pPr>
      <w:r>
        <w:t xml:space="preserve">WICKHAM, Hadley; FRANÇOIS, Romain; HENRY, Lionel;</w:t>
      </w:r>
      <w:r>
        <w:t xml:space="preserve"> </w:t>
      </w:r>
      <w:r>
        <w:rPr>
          <w:iCs/>
          <w:i/>
        </w:rPr>
        <w:t xml:space="preserve">et al</w:t>
      </w:r>
      <w:r>
        <w:t xml:space="preserve">.</w:t>
      </w:r>
      <w:r>
        <w:t xml:space="preserve"> </w:t>
      </w:r>
      <w:r>
        <w:rPr>
          <w:bCs/>
          <w:b/>
        </w:rPr>
        <w:t xml:space="preserve">dplyr: A Grammar of Data Manipulation</w:t>
      </w:r>
      <w:r>
        <w:t xml:space="preserve">. [s.l.: s.n.], 2021. Disponível em: &lt;</w:t>
      </w:r>
      <w:hyperlink r:id="rId35">
        <w:r>
          <w:rPr>
            <w:rStyle w:val="Lienhypertexte"/>
          </w:rPr>
          <w:t xml:space="preserve">https://CRAN.R-project.org/package=dplyr</w:t>
        </w:r>
      </w:hyperlink>
      <w:r>
        <w:t xml:space="preserve">&gt;.</w:t>
      </w:r>
    </w:p>
    <w:bookmarkEnd w:id="36"/>
    <w:bookmarkStart w:id="38" w:name="ref-xml2"/>
    <w:p>
      <w:pPr>
        <w:pStyle w:val="Bibliographie"/>
      </w:pPr>
      <w:r>
        <w:t xml:space="preserve">WICKHAM, Hadley; HESTER, Jim ; OOMS, Jeroen.</w:t>
      </w:r>
      <w:r>
        <w:t xml:space="preserve"> </w:t>
      </w:r>
      <w:r>
        <w:rPr>
          <w:bCs/>
          <w:b/>
        </w:rPr>
        <w:t xml:space="preserve">xml2: Parse XML</w:t>
      </w:r>
      <w:r>
        <w:t xml:space="preserve">. [s.l.: s.n.], 2020. Disponível em: &lt;</w:t>
      </w:r>
      <w:hyperlink r:id="rId37">
        <w:r>
          <w:rPr>
            <w:rStyle w:val="Lienhypertexte"/>
          </w:rPr>
          <w:t xml:space="preserve">https://CRAN.R-project.org/package=xml2</w:t>
        </w:r>
      </w:hyperlink>
      <w:r>
        <w:t xml:space="preserve">&gt;.</w:t>
      </w:r>
    </w:p>
    <w:bookmarkEnd w:id="38"/>
    <w:bookmarkStart w:id="40" w:name="ref-RPostgres"/>
    <w:p>
      <w:pPr>
        <w:pStyle w:val="Bibliographie"/>
      </w:pPr>
      <w:r>
        <w:t xml:space="preserve">WICKHAM, Hadley; OOMS, Jeroen ; MÜLLER, Kirill.</w:t>
      </w:r>
      <w:r>
        <w:t xml:space="preserve"> </w:t>
      </w:r>
      <w:r>
        <w:rPr>
          <w:bCs/>
          <w:b/>
        </w:rPr>
        <w:t xml:space="preserve">RPostgres: ’Rcpp’ Interface to ’PostgreSQL’</w:t>
      </w:r>
      <w:r>
        <w:t xml:space="preserve">. [s.l.: s.n.], 2021. Disponível em: &lt;</w:t>
      </w:r>
      <w:hyperlink r:id="rId39">
        <w:r>
          <w:rPr>
            <w:rStyle w:val="Lienhypertexte"/>
          </w:rPr>
          <w:t xml:space="preserve">https://CRAN.R-project.org/package=RPostgres</w:t>
        </w:r>
      </w:hyperlink>
      <w:r>
        <w:t xml:space="preserve">&gt;.</w:t>
      </w:r>
    </w:p>
    <w:bookmarkEnd w:id="40"/>
    <w:bookmarkStart w:id="42" w:name="ref-knitr"/>
    <w:p>
      <w:pPr>
        <w:pStyle w:val="Bibliographie"/>
      </w:pPr>
      <w:r>
        <w:t xml:space="preserve">XIE, Yihui. knitr: A Comprehensive Tool for Reproducible Research in</w:t>
      </w:r>
      <w:r>
        <w:t xml:space="preserve"> </w:t>
      </w:r>
      <w:r>
        <w:t xml:space="preserve">R</w:t>
      </w:r>
      <w:r>
        <w:t xml:space="preserve">.</w:t>
      </w:r>
      <w:r>
        <w:t xml:space="preserve"> </w:t>
      </w:r>
      <w:r>
        <w:rPr>
          <w:iCs/>
          <w:i/>
        </w:rPr>
        <w:t xml:space="preserve">In</w:t>
      </w:r>
      <w:r>
        <w:t xml:space="preserve">: STODDEN, Victoria; LEISCH, Friedrich ; PENG, Roger D. (Orgs.).</w:t>
      </w:r>
      <w:r>
        <w:t xml:space="preserve"> </w:t>
      </w:r>
      <w:r>
        <w:rPr>
          <w:bCs/>
          <w:b/>
        </w:rPr>
        <w:t xml:space="preserve">Implementing Reproducible Computational Research</w:t>
      </w:r>
      <w:r>
        <w:t xml:space="preserve">. [s.l.]: Chapman; Hall/CRC, 2014. Disponível em: &lt;</w:t>
      </w:r>
      <w:hyperlink r:id="rId41">
        <w:r>
          <w:rPr>
            <w:rStyle w:val="Lienhypertexte"/>
          </w:rPr>
          <w:t xml:space="preserve">http://www.crcpress.com/product/isbn/9781466561595</w:t>
        </w:r>
      </w:hyperlink>
      <w:r>
        <w:t xml:space="preserve">&gt;.</w:t>
      </w:r>
    </w:p>
    <w:bookmarkEnd w:id="42"/>
    <w:bookmarkEnd w:id="43"/>
    <w:bookmarkEnd w:id="44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1" Type="http://schemas.openxmlformats.org/officeDocument/2006/relationships/hyperlink" Target="http://esaj.tjsp.jus.br/cjpg/" TargetMode="External"/>
<Relationship Id="rId41" Type="http://schemas.openxmlformats.org/officeDocument/2006/relationships/hyperlink" Target="http://www.crcpress.com/product/isbn/9781466561595" TargetMode="External"/>
<Relationship Id="rId39" Type="http://schemas.openxmlformats.org/officeDocument/2006/relationships/hyperlink" Target="https://CRAN.R-project.org/package=RPostgres" TargetMode="External"/>
<Relationship Id="rId35" Type="http://schemas.openxmlformats.org/officeDocument/2006/relationships/hyperlink" Target="https://CRAN.R-project.org/package=dplyr" TargetMode="External"/>
<Relationship Id="rId31" Type="http://schemas.openxmlformats.org/officeDocument/2006/relationships/hyperlink" Target="https://CRAN.R-project.org/package=httr" TargetMode="External"/>
<Relationship Id="rId33" Type="http://schemas.openxmlformats.org/officeDocument/2006/relationships/hyperlink" Target="https://CRAN.R-project.org/package=stringr" TargetMode="External"/>
<Relationship Id="rId37" Type="http://schemas.openxmlformats.org/officeDocument/2006/relationships/hyperlink" Target="https://CRAN.R-project.org/package=xml2" TargetMode="External"/>
<Relationship Id="rId29" Type="http://schemas.openxmlformats.org/officeDocument/2006/relationships/hyperlink" Target="https://ggplot2.tidyverse.org" TargetMode="External"/>
<Relationship Id="rId27" Type="http://schemas.openxmlformats.org/officeDocument/2006/relationships/hyperlink" Target="https://github.com/rstudio/rmarkdown" TargetMode="External"/>
<Relationship Id="rId22" Type="http://schemas.openxmlformats.org/officeDocument/2006/relationships/hyperlink" Target="https://tjsp.consudata.com.br" TargetMode="External"/>
<Relationship Id="rId42" Type="http://schemas.openxmlformats.org/officeDocument/2006/relationships/image" Target="media/fileecf132d2dcd42.png"/>
<Relationship Id="rId43" Type="http://schemas.openxmlformats.org/officeDocument/2006/relationships/image" Target="media/fileecf136fd38489.png"/>
<Relationship Id="rId44" Type="http://schemas.openxmlformats.org/officeDocument/2006/relationships/image" Target="media/fileecf1377daff26.png"/>
<Relationship Id="rId45" Type="http://schemas.openxmlformats.org/officeDocument/2006/relationships/image" Target="media/fileecf131e92481.png"/>
<Relationship Id="rId46" Type="http://schemas.openxmlformats.org/officeDocument/2006/relationships/image" Target="media/fileecf13c7b566f.png"/>
<Relationship Id="rId47" Type="http://schemas.openxmlformats.org/officeDocument/2006/relationships/image" Target="media/fileecf13732b03af.png"/>
</Relationships>

</file>

<file path=word/_rels/footnotes.xml.rels><?xml version="1.0" encoding="UTF-8" standalone="yes"?>

<Relationships  xmlns="http://schemas.openxmlformats.org/package/2006/relationships">
<Relationship Id="rId21" Type="http://schemas.openxmlformats.org/officeDocument/2006/relationships/hyperlink" Target="http://esaj.tjsp.jus.br/cjpg/" TargetMode="External"/>
<Relationship Id="rId41" Type="http://schemas.openxmlformats.org/officeDocument/2006/relationships/hyperlink" Target="http://www.crcpress.com/product/isbn/9781466561595" TargetMode="External"/>
<Relationship Id="rId39" Type="http://schemas.openxmlformats.org/officeDocument/2006/relationships/hyperlink" Target="https://CRAN.R-project.org/package=RPostgres" TargetMode="External"/>
<Relationship Id="rId35" Type="http://schemas.openxmlformats.org/officeDocument/2006/relationships/hyperlink" Target="https://CRAN.R-project.org/package=dplyr" TargetMode="External"/>
<Relationship Id="rId31" Type="http://schemas.openxmlformats.org/officeDocument/2006/relationships/hyperlink" Target="https://CRAN.R-project.org/package=httr" TargetMode="External"/>
<Relationship Id="rId33" Type="http://schemas.openxmlformats.org/officeDocument/2006/relationships/hyperlink" Target="https://CRAN.R-project.org/package=stringr" TargetMode="External"/>
<Relationship Id="rId37" Type="http://schemas.openxmlformats.org/officeDocument/2006/relationships/hyperlink" Target="https://CRAN.R-project.org/package=xml2" TargetMode="External"/>
<Relationship Id="rId29" Type="http://schemas.openxmlformats.org/officeDocument/2006/relationships/hyperlink" Target="https://ggplot2.tidyverse.org" TargetMode="External"/>
<Relationship Id="rId27" Type="http://schemas.openxmlformats.org/officeDocument/2006/relationships/hyperlink" Target="https://github.com/rstudio/rmarkdown" TargetMode="External"/>
<Relationship Id="rId22" Type="http://schemas.openxmlformats.org/officeDocument/2006/relationships/hyperlink" Target="https://tjsp.consudata.com.br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Negativação</dc:title>
  <dc:creator>Joice Rodrigues</dc:creator>
  <cp:keywords/>
  <dcterms:created xsi:type="dcterms:W3CDTF">2022-10-01T11:28:13Z</dcterms:created>
  <dcterms:modified xsi:type="dcterms:W3CDTF">2022-10-01T08:28:14Z</dcterms:modified>
  <cp:lastModifiedBy>jose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abnt.csl</vt:lpwstr>
  </property>
  <property fmtid="{D5CDD505-2E9C-101B-9397-08002B2CF9AE}" pid="4" name="date">
    <vt:lpwstr>01 de outubro de 2022</vt:lpwstr>
  </property>
  <property fmtid="{D5CDD505-2E9C-101B-9397-08002B2CF9AE}" pid="5" name="editor_options">
    <vt:lpwstr/>
  </property>
  <property fmtid="{D5CDD505-2E9C-101B-9397-08002B2CF9AE}" pid="6" name="nocite">
    <vt:lpwstr>@dplyr, @ggplot2, @rmarkdown1, @stringr, @RPostgres, @knitr @httr, @xml2</vt:lpwstr>
  </property>
  <property fmtid="{D5CDD505-2E9C-101B-9397-08002B2CF9AE}" pid="7" name="output">
    <vt:lpwstr>officedown::rdocx_document</vt:lpwstr>
  </property>
</Properties>
</file>