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28170" w14:textId="7496944D" w:rsidR="0025767D" w:rsidRDefault="0025767D" w:rsidP="0025767D">
      <w:pPr>
        <w:spacing w:after="0" w:line="240" w:lineRule="auto"/>
        <w:jc w:val="center"/>
      </w:pPr>
      <w:r>
        <w:t>ONJSC Precipitation Project</w:t>
      </w:r>
      <w:r w:rsidR="008F0C82">
        <w:t xml:space="preserve"> Notes</w:t>
      </w:r>
    </w:p>
    <w:p w14:paraId="0473D619" w14:textId="77777777" w:rsidR="00EA66E1" w:rsidRDefault="00EA66E1" w:rsidP="0025767D">
      <w:pPr>
        <w:spacing w:after="0" w:line="240" w:lineRule="auto"/>
      </w:pPr>
    </w:p>
    <w:p w14:paraId="26550495" w14:textId="4D738BCF" w:rsidR="00A84551" w:rsidRPr="00EA66E1" w:rsidRDefault="008F0C82" w:rsidP="0025767D">
      <w:pPr>
        <w:spacing w:after="0" w:line="240" w:lineRule="auto"/>
        <w:rPr>
          <w:b/>
        </w:rPr>
      </w:pPr>
      <w:r w:rsidRPr="00EA66E1">
        <w:rPr>
          <w:b/>
        </w:rPr>
        <w:t>Extreme Precipitation</w:t>
      </w:r>
    </w:p>
    <w:p w14:paraId="27BFD24F" w14:textId="0910FC47" w:rsidR="0025767D" w:rsidRDefault="00EA66E1" w:rsidP="0025767D">
      <w:pPr>
        <w:spacing w:after="0" w:line="240" w:lineRule="auto"/>
      </w:pPr>
      <w:r>
        <w:t>Excel Sheets</w:t>
      </w:r>
      <w:r w:rsidR="00D80837">
        <w:t xml:space="preserve">, </w:t>
      </w:r>
      <w:r>
        <w:t>Plots</w:t>
      </w:r>
      <w:r w:rsidR="00D80837">
        <w:t>, and Results</w:t>
      </w:r>
      <w:r w:rsidR="0025767D">
        <w:t>:</w:t>
      </w:r>
    </w:p>
    <w:p w14:paraId="5FECB0A6" w14:textId="1641B097" w:rsidR="00D80837" w:rsidRDefault="00D80837" w:rsidP="0025767D">
      <w:pPr>
        <w:pStyle w:val="ListParagraph"/>
        <w:numPr>
          <w:ilvl w:val="0"/>
          <w:numId w:val="1"/>
        </w:numPr>
        <w:spacing w:after="0" w:line="240" w:lineRule="auto"/>
      </w:pPr>
      <w:r>
        <w:t>Percentile plots</w:t>
      </w:r>
    </w:p>
    <w:p w14:paraId="256E05E3" w14:textId="77777777" w:rsidR="00D80837" w:rsidRDefault="0025767D" w:rsidP="00D80837">
      <w:pPr>
        <w:pStyle w:val="ListParagraph"/>
        <w:numPr>
          <w:ilvl w:val="1"/>
          <w:numId w:val="1"/>
        </w:numPr>
        <w:spacing w:after="0" w:line="240" w:lineRule="auto"/>
      </w:pPr>
      <w:r>
        <w:t xml:space="preserve">Trend of </w:t>
      </w:r>
      <w:r w:rsidR="00A84551">
        <w:t>NB</w:t>
      </w:r>
      <w:r w:rsidR="00D80837">
        <w:t xml:space="preserve"> station POR</w:t>
      </w:r>
      <w:r>
        <w:t xml:space="preserve"> number of 90/95/99 percentile events</w:t>
      </w:r>
      <w:r w:rsidR="00D80837">
        <w:t xml:space="preserve">: </w:t>
      </w:r>
      <w:r w:rsidR="00A155D3">
        <w:t xml:space="preserve">When looking at the number of </w:t>
      </w:r>
      <w:r w:rsidR="00FE700E">
        <w:t>90/95/99 percentile events for the entire domain of data, and then seeing how many of each percentile event was in a year,</w:t>
      </w:r>
      <w:r w:rsidR="00A155D3">
        <w:t xml:space="preserve"> n</w:t>
      </w:r>
      <w:r>
        <w:t xml:space="preserve">o trend </w:t>
      </w:r>
      <w:r w:rsidR="00FE700E">
        <w:t xml:space="preserve">was </w:t>
      </w:r>
      <w:r>
        <w:t>seen</w:t>
      </w:r>
    </w:p>
    <w:p w14:paraId="4F53F65A" w14:textId="585ABBAF" w:rsidR="00FE700E" w:rsidRDefault="0025767D" w:rsidP="00D80837">
      <w:pPr>
        <w:pStyle w:val="ListParagraph"/>
        <w:numPr>
          <w:ilvl w:val="1"/>
          <w:numId w:val="1"/>
        </w:numPr>
        <w:spacing w:after="0" w:line="240" w:lineRule="auto"/>
      </w:pPr>
      <w:r>
        <w:t xml:space="preserve">Trend of amounts of </w:t>
      </w:r>
      <w:r w:rsidR="00A84551">
        <w:t>NB</w:t>
      </w:r>
      <w:r w:rsidR="00D80837">
        <w:t xml:space="preserve"> station POR</w:t>
      </w:r>
      <w:r w:rsidR="00520402">
        <w:t xml:space="preserve"> </w:t>
      </w:r>
      <w:r>
        <w:t>of 90/95/99 percentile events</w:t>
      </w:r>
      <w:r w:rsidR="00D80837">
        <w:t xml:space="preserve">: </w:t>
      </w:r>
      <w:r w:rsidR="00FE700E">
        <w:t>When looking at the amount of precipitation of 90/95/99 percentile events for the entire domain of data, and then seeing how many of each percentile event was in a year, no trend was seen</w:t>
      </w:r>
    </w:p>
    <w:p w14:paraId="6F56855B" w14:textId="5A565735" w:rsidR="00FE700E" w:rsidRDefault="0025767D" w:rsidP="00D80837">
      <w:pPr>
        <w:pStyle w:val="ListParagraph"/>
        <w:numPr>
          <w:ilvl w:val="1"/>
          <w:numId w:val="1"/>
        </w:numPr>
        <w:spacing w:after="0" w:line="240" w:lineRule="auto"/>
      </w:pPr>
      <w:r>
        <w:t>Trend of amounts of annual 99 percentile events</w:t>
      </w:r>
      <w:r w:rsidR="00D80837">
        <w:t xml:space="preserve">: </w:t>
      </w:r>
      <w:r>
        <w:t>Essentially, we tracked the top event in a year</w:t>
      </w:r>
      <w:r w:rsidR="00FE700E">
        <w:t>, and a small trend was seen in the domain of 1968-2017, but nothing</w:t>
      </w:r>
      <w:r w:rsidR="008F0C82">
        <w:t xml:space="preserve"> substantial</w:t>
      </w:r>
      <w:r w:rsidR="00FE700E">
        <w:t xml:space="preserve"> was seen in the POR</w:t>
      </w:r>
      <w:r w:rsidR="00D80837">
        <w:t xml:space="preserve"> (</w:t>
      </w:r>
      <w:r w:rsidR="00FE700E">
        <w:t>However, there are some patterns to be looked at</w:t>
      </w:r>
      <w:r w:rsidR="00D80837">
        <w:t>)</w:t>
      </w:r>
    </w:p>
    <w:p w14:paraId="04601490" w14:textId="11AA7537" w:rsidR="0025767D" w:rsidRDefault="0025767D" w:rsidP="0025767D">
      <w:pPr>
        <w:pStyle w:val="ListParagraph"/>
        <w:numPr>
          <w:ilvl w:val="1"/>
          <w:numId w:val="1"/>
        </w:numPr>
        <w:spacing w:after="0" w:line="240" w:lineRule="auto"/>
      </w:pPr>
      <w:r>
        <w:t>Furthermore, a tool was developed to fi</w:t>
      </w:r>
      <w:r w:rsidR="00A84551">
        <w:t>n</w:t>
      </w:r>
      <w:r>
        <w:t>d the percent change between any two chronologically forward years</w:t>
      </w:r>
    </w:p>
    <w:p w14:paraId="588ACD24" w14:textId="72FDEE63" w:rsidR="00D80837" w:rsidRDefault="00D80837" w:rsidP="00D80837">
      <w:pPr>
        <w:pStyle w:val="ListParagraph"/>
        <w:numPr>
          <w:ilvl w:val="0"/>
          <w:numId w:val="1"/>
        </w:numPr>
        <w:spacing w:after="0" w:line="240" w:lineRule="auto"/>
      </w:pPr>
      <w:r>
        <w:t>Binned plots were not really used to see changes in extreme precipitation (too small of a sample size) – percentiles seemed to be the better option</w:t>
      </w:r>
    </w:p>
    <w:p w14:paraId="535F85C9" w14:textId="77777777" w:rsidR="00557CF2" w:rsidRDefault="00557CF2" w:rsidP="00557CF2">
      <w:pPr>
        <w:spacing w:after="0" w:line="240" w:lineRule="auto"/>
      </w:pPr>
    </w:p>
    <w:p w14:paraId="3AA1A44D" w14:textId="77777777" w:rsidR="00D80837" w:rsidRDefault="00D80837" w:rsidP="00D80837">
      <w:pPr>
        <w:spacing w:after="0" w:line="240" w:lineRule="auto"/>
      </w:pPr>
      <w:r w:rsidRPr="00EA66E1">
        <w:rPr>
          <w:b/>
        </w:rPr>
        <w:t>Quality Control</w:t>
      </w:r>
    </w:p>
    <w:p w14:paraId="6628FABB" w14:textId="77777777" w:rsidR="00D80837" w:rsidRDefault="00D80837" w:rsidP="00D80837">
      <w:pPr>
        <w:pStyle w:val="ListParagraph"/>
        <w:numPr>
          <w:ilvl w:val="0"/>
          <w:numId w:val="5"/>
        </w:numPr>
        <w:spacing w:after="0" w:line="240" w:lineRule="auto"/>
      </w:pPr>
      <w:r>
        <w:t>New Brunswick Experimental Station (1896-1968)</w:t>
      </w:r>
    </w:p>
    <w:p w14:paraId="4D27D331" w14:textId="77777777" w:rsidR="00D80837" w:rsidRDefault="00D80837" w:rsidP="00D80837">
      <w:pPr>
        <w:pStyle w:val="ListParagraph"/>
        <w:numPr>
          <w:ilvl w:val="1"/>
          <w:numId w:val="5"/>
        </w:numPr>
        <w:spacing w:after="0" w:line="240" w:lineRule="auto"/>
      </w:pPr>
      <w:r>
        <w:t>The experimental station had many missing values: to combat this, I looked at the amount of original sheets that were taken in the earlier part of the century, and compared them to the monthly totals on the websites, so if these values matched, I made all the missing values for that month zero – an excel sheet details this process and results</w:t>
      </w:r>
    </w:p>
    <w:p w14:paraId="0BDDD0ED" w14:textId="77777777" w:rsidR="00D80837" w:rsidRDefault="00D80837" w:rsidP="00D80837">
      <w:pPr>
        <w:pStyle w:val="ListParagraph"/>
        <w:numPr>
          <w:ilvl w:val="1"/>
          <w:numId w:val="5"/>
        </w:numPr>
        <w:spacing w:after="0" w:line="240" w:lineRule="auto"/>
      </w:pPr>
      <w:r>
        <w:t>There are 46 two-day events: these events were discarded, because after manually going through the data file, all multi-day events the events were smaller than the largest daily event each year, meaning that for Plot 3, these results did not matter</w:t>
      </w:r>
    </w:p>
    <w:p w14:paraId="57A4CA92" w14:textId="77777777" w:rsidR="00D80837" w:rsidRDefault="00D80837" w:rsidP="00D80837">
      <w:pPr>
        <w:pStyle w:val="ListParagraph"/>
        <w:numPr>
          <w:ilvl w:val="1"/>
          <w:numId w:val="5"/>
        </w:numPr>
        <w:spacing w:after="0" w:line="240" w:lineRule="auto"/>
      </w:pPr>
      <w:r>
        <w:t>To remedy these events so that the entire POR could be used for the percentile plots, I used surrounding stations, and compared their original obs sheets to obtain a ratio that could be used to split the data into two days</w:t>
      </w:r>
    </w:p>
    <w:p w14:paraId="382F2244" w14:textId="77777777" w:rsidR="005E2FCB" w:rsidRDefault="005E2FCB" w:rsidP="00557CF2">
      <w:pPr>
        <w:spacing w:after="0" w:line="240" w:lineRule="auto"/>
      </w:pPr>
    </w:p>
    <w:p w14:paraId="32211BE3" w14:textId="3B37A98F" w:rsidR="00EA66E1" w:rsidRDefault="00EA66E1" w:rsidP="00557CF2">
      <w:pPr>
        <w:spacing w:after="0" w:line="240" w:lineRule="auto"/>
        <w:rPr>
          <w:b/>
        </w:rPr>
      </w:pPr>
      <w:r w:rsidRPr="00EA66E1">
        <w:rPr>
          <w:b/>
        </w:rPr>
        <w:t>High-Frequency Events</w:t>
      </w:r>
    </w:p>
    <w:p w14:paraId="6170A179" w14:textId="3DE4865F" w:rsidR="00EA66E1" w:rsidRDefault="00D80837" w:rsidP="00557CF2">
      <w:pPr>
        <w:spacing w:after="0" w:line="240" w:lineRule="auto"/>
      </w:pPr>
      <w:r>
        <w:t>Excel Sheets, Plots, and Results:</w:t>
      </w:r>
    </w:p>
    <w:p w14:paraId="18DB30FE" w14:textId="489DB509" w:rsidR="00D6780E" w:rsidRDefault="00D80837" w:rsidP="00D6780E">
      <w:pPr>
        <w:pStyle w:val="ListParagraph"/>
        <w:numPr>
          <w:ilvl w:val="0"/>
          <w:numId w:val="7"/>
        </w:numPr>
        <w:spacing w:after="0" w:line="240" w:lineRule="auto"/>
      </w:pPr>
      <w:r>
        <w:t xml:space="preserve">Using the NB POR, </w:t>
      </w:r>
      <w:r w:rsidR="005E2FCB">
        <w:t>I binned the events into these separate categories</w:t>
      </w:r>
      <w:r w:rsidR="00D6780E">
        <w:t xml:space="preserve"> (table describing this is below). Using these categories, I was able to do a similar analysis with the percentiles, except this time use the bins to monitor trends in changes of higher-frequency categories (B</w:t>
      </w:r>
      <w:proofErr w:type="gramStart"/>
      <w:r w:rsidR="00D6780E">
        <w:t>,C</w:t>
      </w:r>
      <w:proofErr w:type="gramEnd"/>
      <w:r w:rsidR="00D6780E">
        <w:t xml:space="preserve">, D, mainly), since there was a larger sample size. Different graphs were produced </w:t>
      </w:r>
    </w:p>
    <w:p w14:paraId="30186C54" w14:textId="7D7A3752" w:rsidR="00D6780E" w:rsidRDefault="00D6780E" w:rsidP="00D6780E">
      <w:pPr>
        <w:spacing w:after="0" w:line="240" w:lineRule="auto"/>
      </w:pPr>
      <w:r>
        <w:t xml:space="preserve"> </w:t>
      </w:r>
    </w:p>
    <w:p w14:paraId="54A931A9" w14:textId="77777777" w:rsidR="003D6A50" w:rsidRDefault="003D6A50" w:rsidP="00D6780E">
      <w:pPr>
        <w:spacing w:after="0" w:line="240" w:lineRule="auto"/>
      </w:pPr>
    </w:p>
    <w:p w14:paraId="1DEA3AF5" w14:textId="2D5B197E" w:rsidR="00D80837" w:rsidRDefault="00D80837" w:rsidP="00D6780E">
      <w:pPr>
        <w:spacing w:after="0" w:line="240" w:lineRule="auto"/>
      </w:pPr>
    </w:p>
    <w:p w14:paraId="310C0735" w14:textId="77777777" w:rsidR="005E2FCB" w:rsidRDefault="005E2FCB" w:rsidP="005E2FCB">
      <w:pPr>
        <w:spacing w:after="0" w:line="240" w:lineRule="auto"/>
      </w:pPr>
    </w:p>
    <w:tbl>
      <w:tblPr>
        <w:tblStyle w:val="GridTable41"/>
        <w:tblW w:w="0" w:type="auto"/>
        <w:jc w:val="center"/>
        <w:tblInd w:w="0" w:type="dxa"/>
        <w:tblLook w:val="04A0" w:firstRow="1" w:lastRow="0" w:firstColumn="1" w:lastColumn="0" w:noHBand="0" w:noVBand="1"/>
      </w:tblPr>
      <w:tblGrid>
        <w:gridCol w:w="1237"/>
        <w:gridCol w:w="2543"/>
      </w:tblGrid>
      <w:tr w:rsidR="005E2FCB" w14:paraId="6246981F" w14:textId="77777777" w:rsidTr="005E2FCB">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237" w:type="dxa"/>
            <w:hideMark/>
          </w:tcPr>
          <w:p w14:paraId="1A0D3C46" w14:textId="77777777" w:rsidR="005E2FCB" w:rsidRDefault="005E2F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Group</w:t>
            </w:r>
          </w:p>
        </w:tc>
        <w:tc>
          <w:tcPr>
            <w:tcW w:w="2543" w:type="dxa"/>
            <w:hideMark/>
          </w:tcPr>
          <w:p w14:paraId="08CE029B" w14:textId="77777777" w:rsidR="005E2FCB" w:rsidRDefault="005E2FC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Precipitation Range</w:t>
            </w:r>
          </w:p>
        </w:tc>
      </w:tr>
      <w:tr w:rsidR="005E2FCB" w14:paraId="7A011025" w14:textId="77777777" w:rsidTr="005E2FCB">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946D6B8" w14:textId="77777777" w:rsidR="005E2FCB" w:rsidRDefault="005E2F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A83B8B" w14:textId="77777777" w:rsidR="005E2FCB" w:rsidRDefault="005E2F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0 - 0.02 and T</w:t>
            </w:r>
          </w:p>
        </w:tc>
      </w:tr>
      <w:tr w:rsidR="005E2FCB" w14:paraId="088E9A57" w14:textId="77777777" w:rsidTr="005E2FCB">
        <w:trPr>
          <w:trHeight w:val="271"/>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D554AE" w14:textId="77777777" w:rsidR="005E2FCB" w:rsidRDefault="005E2FCB">
            <w:pPr>
              <w:jc w:val="center"/>
              <w:rPr>
                <w:rFonts w:ascii="Times New Roman" w:eastAsia="Times New Roman" w:hAnsi="Times New Roman" w:cs="Times New Roman"/>
                <w:sz w:val="24"/>
                <w:szCs w:val="24"/>
              </w:rPr>
            </w:pPr>
            <w:r>
              <w:rPr>
                <w:rFonts w:ascii="Times New Roman" w:hAnsi="Times New Roman" w:cs="Times New Roman"/>
                <w:sz w:val="24"/>
                <w:szCs w:val="24"/>
              </w:rPr>
              <w:t>B</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41E46CB" w14:textId="77777777" w:rsidR="005E2FCB" w:rsidRDefault="005E2F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0.03 - 0.10</w:t>
            </w:r>
          </w:p>
        </w:tc>
      </w:tr>
      <w:tr w:rsidR="005E2FCB" w14:paraId="32705933" w14:textId="77777777" w:rsidTr="005E2FCB">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C39EBF" w14:textId="77777777" w:rsidR="005E2FCB" w:rsidRDefault="005E2FCB">
            <w:pPr>
              <w:jc w:val="center"/>
              <w:rPr>
                <w:rFonts w:ascii="Times New Roman" w:eastAsia="Times New Roman" w:hAnsi="Times New Roman" w:cs="Times New Roman"/>
                <w:sz w:val="24"/>
                <w:szCs w:val="24"/>
              </w:rPr>
            </w:pPr>
            <w:r>
              <w:rPr>
                <w:rFonts w:ascii="Times New Roman" w:hAnsi="Times New Roman" w:cs="Times New Roman"/>
                <w:sz w:val="24"/>
                <w:szCs w:val="24"/>
              </w:rPr>
              <w:t>C</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ADE67F" w14:textId="77777777" w:rsidR="005E2FCB" w:rsidRDefault="005E2F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0.11 - 0.25</w:t>
            </w:r>
          </w:p>
        </w:tc>
      </w:tr>
      <w:tr w:rsidR="005E2FCB" w14:paraId="42497DD8" w14:textId="77777777" w:rsidTr="005E2FCB">
        <w:trPr>
          <w:trHeight w:val="271"/>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1AC2CF" w14:textId="77777777" w:rsidR="005E2FCB" w:rsidRDefault="005E2FCB">
            <w:pPr>
              <w:jc w:val="center"/>
              <w:rPr>
                <w:rFonts w:ascii="Times New Roman" w:eastAsia="Times New Roman" w:hAnsi="Times New Roman" w:cs="Times New Roman"/>
                <w:sz w:val="24"/>
                <w:szCs w:val="24"/>
              </w:rPr>
            </w:pPr>
            <w:r>
              <w:rPr>
                <w:rFonts w:ascii="Times New Roman" w:hAnsi="Times New Roman" w:cs="Times New Roman"/>
                <w:sz w:val="24"/>
                <w:szCs w:val="24"/>
              </w:rPr>
              <w:t>D</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B04B66" w14:textId="77777777" w:rsidR="005E2FCB" w:rsidRDefault="005E2F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0.26 - 0.50</w:t>
            </w:r>
          </w:p>
        </w:tc>
      </w:tr>
      <w:tr w:rsidR="005E2FCB" w14:paraId="3006E8B5" w14:textId="77777777" w:rsidTr="005E2FCB">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86D8FA1" w14:textId="77777777" w:rsidR="005E2FCB" w:rsidRDefault="005E2FCB">
            <w:pPr>
              <w:jc w:val="center"/>
              <w:rPr>
                <w:rFonts w:ascii="Times New Roman" w:eastAsia="Times New Roman" w:hAnsi="Times New Roman" w:cs="Times New Roman"/>
                <w:sz w:val="24"/>
                <w:szCs w:val="24"/>
              </w:rPr>
            </w:pPr>
            <w:r>
              <w:rPr>
                <w:rFonts w:ascii="Times New Roman" w:hAnsi="Times New Roman" w:cs="Times New Roman"/>
                <w:sz w:val="24"/>
                <w:szCs w:val="24"/>
              </w:rPr>
              <w:t>E</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E2BC3E4" w14:textId="77777777" w:rsidR="005E2FCB" w:rsidRDefault="005E2F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0.51 - 1.00</w:t>
            </w:r>
          </w:p>
        </w:tc>
      </w:tr>
      <w:tr w:rsidR="005E2FCB" w14:paraId="71BCA138" w14:textId="77777777" w:rsidTr="005E2FCB">
        <w:trPr>
          <w:trHeight w:val="271"/>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1A2A4B" w14:textId="77777777" w:rsidR="005E2FCB" w:rsidRDefault="005E2FCB">
            <w:pPr>
              <w:jc w:val="center"/>
              <w:rPr>
                <w:rFonts w:ascii="Times New Roman" w:eastAsia="Times New Roman" w:hAnsi="Times New Roman" w:cs="Times New Roman"/>
                <w:sz w:val="24"/>
                <w:szCs w:val="24"/>
              </w:rPr>
            </w:pPr>
            <w:r>
              <w:rPr>
                <w:rFonts w:ascii="Times New Roman" w:hAnsi="Times New Roman" w:cs="Times New Roman"/>
                <w:sz w:val="24"/>
                <w:szCs w:val="24"/>
              </w:rPr>
              <w:t>F</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AD53E1C" w14:textId="77777777" w:rsidR="005E2FCB" w:rsidRDefault="005E2F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1.01 - 1.50</w:t>
            </w:r>
          </w:p>
        </w:tc>
      </w:tr>
      <w:tr w:rsidR="005E2FCB" w14:paraId="7AEDE6C3" w14:textId="77777777" w:rsidTr="005E2FCB">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81D482" w14:textId="77777777" w:rsidR="005E2FCB" w:rsidRDefault="005E2FCB">
            <w:pPr>
              <w:jc w:val="center"/>
              <w:rPr>
                <w:rFonts w:ascii="Times New Roman" w:eastAsia="Times New Roman" w:hAnsi="Times New Roman" w:cs="Times New Roman"/>
                <w:sz w:val="24"/>
                <w:szCs w:val="24"/>
              </w:rPr>
            </w:pPr>
            <w:r>
              <w:rPr>
                <w:rFonts w:ascii="Times New Roman" w:hAnsi="Times New Roman" w:cs="Times New Roman"/>
                <w:sz w:val="24"/>
                <w:szCs w:val="24"/>
              </w:rPr>
              <w:t>G</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C2601C" w14:textId="77777777" w:rsidR="005E2FCB" w:rsidRDefault="005E2F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1.51 - 2.00</w:t>
            </w:r>
          </w:p>
        </w:tc>
      </w:tr>
      <w:tr w:rsidR="005E2FCB" w14:paraId="60D04177" w14:textId="77777777" w:rsidTr="005E2FCB">
        <w:trPr>
          <w:trHeight w:val="256"/>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BAC9D1" w14:textId="77777777" w:rsidR="005E2FCB" w:rsidRDefault="005E2FCB">
            <w:pPr>
              <w:jc w:val="center"/>
              <w:rPr>
                <w:rFonts w:ascii="Times New Roman" w:hAnsi="Times New Roman" w:cs="Times New Roman"/>
                <w:sz w:val="24"/>
                <w:szCs w:val="24"/>
              </w:rPr>
            </w:pPr>
            <w:r>
              <w:rPr>
                <w:rFonts w:ascii="Times New Roman" w:hAnsi="Times New Roman" w:cs="Times New Roman"/>
                <w:sz w:val="24"/>
                <w:szCs w:val="24"/>
              </w:rPr>
              <w:t>H</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DD1DE1" w14:textId="77777777" w:rsidR="005E2FCB" w:rsidRDefault="005E2F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2.01 - 2.50</w:t>
            </w:r>
          </w:p>
        </w:tc>
      </w:tr>
      <w:tr w:rsidR="005E2FCB" w14:paraId="3340CD82" w14:textId="77777777" w:rsidTr="005E2FCB">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6C4E78" w14:textId="77777777" w:rsidR="005E2FCB" w:rsidRDefault="005E2FCB">
            <w:pPr>
              <w:jc w:val="center"/>
              <w:rPr>
                <w:rFonts w:ascii="Times New Roman" w:hAnsi="Times New Roman" w:cs="Times New Roman"/>
                <w:sz w:val="24"/>
                <w:szCs w:val="24"/>
              </w:rPr>
            </w:pPr>
            <w:r>
              <w:rPr>
                <w:rFonts w:ascii="Times New Roman" w:hAnsi="Times New Roman" w:cs="Times New Roman"/>
                <w:sz w:val="24"/>
                <w:szCs w:val="24"/>
              </w:rPr>
              <w:t>I</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bottom"/>
            <w:hideMark/>
          </w:tcPr>
          <w:p w14:paraId="460B1C13" w14:textId="77777777" w:rsidR="005E2FCB" w:rsidRDefault="005E2F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iCs/>
                <w:sz w:val="24"/>
                <w:szCs w:val="24"/>
              </w:rPr>
              <w:t>2.51 - 3.00</w:t>
            </w:r>
          </w:p>
        </w:tc>
      </w:tr>
      <w:tr w:rsidR="005E2FCB" w14:paraId="0C7FF6AE" w14:textId="77777777" w:rsidTr="005E2FCB">
        <w:trPr>
          <w:trHeight w:val="256"/>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18CE70" w14:textId="77777777" w:rsidR="005E2FCB" w:rsidRDefault="005E2FCB">
            <w:pPr>
              <w:jc w:val="center"/>
              <w:rPr>
                <w:rFonts w:ascii="Times New Roman" w:hAnsi="Times New Roman" w:cs="Times New Roman"/>
                <w:sz w:val="24"/>
                <w:szCs w:val="24"/>
              </w:rPr>
            </w:pPr>
            <w:r>
              <w:rPr>
                <w:rFonts w:ascii="Times New Roman" w:hAnsi="Times New Roman" w:cs="Times New Roman"/>
                <w:sz w:val="24"/>
                <w:szCs w:val="24"/>
              </w:rPr>
              <w:t>J</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bottom"/>
            <w:hideMark/>
          </w:tcPr>
          <w:p w14:paraId="4AB49333" w14:textId="77777777" w:rsidR="005E2FCB" w:rsidRDefault="005E2F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iCs/>
                <w:sz w:val="24"/>
                <w:szCs w:val="24"/>
              </w:rPr>
              <w:t>3.01 - 4.00</w:t>
            </w:r>
          </w:p>
        </w:tc>
      </w:tr>
      <w:tr w:rsidR="005E2FCB" w14:paraId="6E348546" w14:textId="77777777" w:rsidTr="005E2FCB">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4271AF3" w14:textId="77777777" w:rsidR="005E2FCB" w:rsidRDefault="005E2FCB">
            <w:pPr>
              <w:jc w:val="center"/>
              <w:rPr>
                <w:rFonts w:ascii="Times New Roman" w:hAnsi="Times New Roman" w:cs="Times New Roman"/>
                <w:sz w:val="24"/>
                <w:szCs w:val="24"/>
              </w:rPr>
            </w:pPr>
            <w:r>
              <w:rPr>
                <w:rFonts w:ascii="Times New Roman" w:hAnsi="Times New Roman" w:cs="Times New Roman"/>
                <w:sz w:val="24"/>
                <w:szCs w:val="24"/>
              </w:rPr>
              <w:t>K</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bottom"/>
            <w:hideMark/>
          </w:tcPr>
          <w:p w14:paraId="0B41966D" w14:textId="77777777" w:rsidR="005E2FCB" w:rsidRDefault="005E2F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iCs/>
                <w:sz w:val="24"/>
                <w:szCs w:val="24"/>
              </w:rPr>
              <w:t>4.01 - 5.00</w:t>
            </w:r>
          </w:p>
        </w:tc>
      </w:tr>
      <w:tr w:rsidR="005E2FCB" w14:paraId="7041F1EB" w14:textId="77777777" w:rsidTr="005E2FCB">
        <w:trPr>
          <w:trHeight w:val="256"/>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E9B8AD" w14:textId="77777777" w:rsidR="005E2FCB" w:rsidRDefault="005E2FCB">
            <w:pPr>
              <w:jc w:val="center"/>
              <w:rPr>
                <w:rFonts w:ascii="Times New Roman" w:hAnsi="Times New Roman" w:cs="Times New Roman"/>
                <w:sz w:val="24"/>
                <w:szCs w:val="24"/>
              </w:rPr>
            </w:pPr>
            <w:r>
              <w:rPr>
                <w:rFonts w:ascii="Times New Roman" w:hAnsi="Times New Roman" w:cs="Times New Roman"/>
                <w:sz w:val="24"/>
                <w:szCs w:val="24"/>
              </w:rPr>
              <w:t>L</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bottom"/>
            <w:hideMark/>
          </w:tcPr>
          <w:p w14:paraId="745EB490" w14:textId="77777777" w:rsidR="005E2FCB" w:rsidRDefault="005E2F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iCs/>
                <w:sz w:val="24"/>
                <w:szCs w:val="24"/>
              </w:rPr>
              <w:t>5.01 - 6.00</w:t>
            </w:r>
          </w:p>
        </w:tc>
      </w:tr>
      <w:tr w:rsidR="005E2FCB" w14:paraId="6277EE18" w14:textId="77777777" w:rsidTr="005E2FCB">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EABD15" w14:textId="77777777" w:rsidR="005E2FCB" w:rsidRDefault="005E2FCB">
            <w:pPr>
              <w:jc w:val="center"/>
              <w:rPr>
                <w:rFonts w:ascii="Times New Roman" w:hAnsi="Times New Roman" w:cs="Times New Roman"/>
                <w:sz w:val="24"/>
                <w:szCs w:val="24"/>
              </w:rPr>
            </w:pPr>
            <w:r>
              <w:rPr>
                <w:rFonts w:ascii="Times New Roman" w:hAnsi="Times New Roman" w:cs="Times New Roman"/>
                <w:sz w:val="24"/>
                <w:szCs w:val="24"/>
              </w:rPr>
              <w:t>M</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bottom"/>
            <w:hideMark/>
          </w:tcPr>
          <w:p w14:paraId="44649A15" w14:textId="77777777" w:rsidR="005E2FCB" w:rsidRDefault="005E2F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iCs/>
                <w:sz w:val="24"/>
                <w:szCs w:val="24"/>
              </w:rPr>
              <w:t>6.01 - 7.00</w:t>
            </w:r>
          </w:p>
        </w:tc>
      </w:tr>
      <w:tr w:rsidR="005E2FCB" w14:paraId="08A899D3" w14:textId="77777777" w:rsidTr="005E2FCB">
        <w:trPr>
          <w:trHeight w:val="256"/>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F60016" w14:textId="77777777" w:rsidR="005E2FCB" w:rsidRDefault="005E2FCB">
            <w:pPr>
              <w:jc w:val="center"/>
              <w:rPr>
                <w:rFonts w:ascii="Times New Roman" w:hAnsi="Times New Roman" w:cs="Times New Roman"/>
                <w:sz w:val="24"/>
                <w:szCs w:val="24"/>
              </w:rPr>
            </w:pPr>
            <w:r>
              <w:rPr>
                <w:rFonts w:ascii="Times New Roman" w:hAnsi="Times New Roman" w:cs="Times New Roman"/>
                <w:sz w:val="24"/>
                <w:szCs w:val="24"/>
              </w:rPr>
              <w:t>N</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bottom"/>
            <w:hideMark/>
          </w:tcPr>
          <w:p w14:paraId="516E1F03" w14:textId="77777777" w:rsidR="005E2FCB" w:rsidRDefault="005E2F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iCs/>
                <w:sz w:val="24"/>
                <w:szCs w:val="24"/>
              </w:rPr>
              <w:t>7.01+</w:t>
            </w:r>
          </w:p>
        </w:tc>
      </w:tr>
    </w:tbl>
    <w:p w14:paraId="52C8AC64" w14:textId="77777777" w:rsidR="005E2FCB" w:rsidRPr="00EA66E1" w:rsidRDefault="005E2FCB" w:rsidP="005E2FCB">
      <w:pPr>
        <w:spacing w:after="0" w:line="240" w:lineRule="auto"/>
      </w:pPr>
    </w:p>
    <w:p w14:paraId="64A31186" w14:textId="6E06D997" w:rsidR="00941F2B" w:rsidRDefault="00941F2B" w:rsidP="00557CF2">
      <w:pPr>
        <w:spacing w:after="0" w:line="240" w:lineRule="auto"/>
      </w:pPr>
      <w:proofErr w:type="gramStart"/>
      <w:r>
        <w:t>The same as bee</w:t>
      </w:r>
      <w:r w:rsidR="00DE6AC3">
        <w:t xml:space="preserve">n done for Atlantic City Marina, </w:t>
      </w:r>
      <w:r>
        <w:t>Indian Mills</w:t>
      </w:r>
      <w:r w:rsidR="00DE6AC3">
        <w:t xml:space="preserve"> and Sussex (all</w:t>
      </w:r>
      <w:r>
        <w:t xml:space="preserve"> NJ stations</w:t>
      </w:r>
      <w:r w:rsidR="00DE6AC3">
        <w:t>)</w:t>
      </w:r>
      <w:r>
        <w:t>.</w:t>
      </w:r>
      <w:proofErr w:type="gramEnd"/>
    </w:p>
    <w:p w14:paraId="17D66773" w14:textId="77777777" w:rsidR="00DE6AC3" w:rsidRDefault="00DE6AC3" w:rsidP="00557CF2">
      <w:pPr>
        <w:spacing w:after="0" w:line="240" w:lineRule="auto"/>
      </w:pPr>
    </w:p>
    <w:p w14:paraId="174B6858" w14:textId="58D52A5A" w:rsidR="00DE6AC3" w:rsidRDefault="00DE6AC3" w:rsidP="00557CF2">
      <w:pPr>
        <w:spacing w:after="0" w:line="240" w:lineRule="auto"/>
      </w:pPr>
      <w:r>
        <w:t>Below are revised groups for</w:t>
      </w:r>
      <w:bookmarkStart w:id="0" w:name="_GoBack"/>
      <w:bookmarkEnd w:id="0"/>
    </w:p>
    <w:p w14:paraId="42EEA8F9" w14:textId="77777777" w:rsidR="00DE6AC3" w:rsidRDefault="00DE6AC3" w:rsidP="00557CF2">
      <w:pPr>
        <w:spacing w:after="0" w:line="240" w:lineRule="auto"/>
      </w:pPr>
    </w:p>
    <w:tbl>
      <w:tblPr>
        <w:tblStyle w:val="GridTable41"/>
        <w:tblW w:w="0" w:type="auto"/>
        <w:jc w:val="center"/>
        <w:tblInd w:w="0" w:type="dxa"/>
        <w:tblLook w:val="04A0" w:firstRow="1" w:lastRow="0" w:firstColumn="1" w:lastColumn="0" w:noHBand="0" w:noVBand="1"/>
      </w:tblPr>
      <w:tblGrid>
        <w:gridCol w:w="1237"/>
        <w:gridCol w:w="2543"/>
      </w:tblGrid>
      <w:tr w:rsidR="00DE6AC3" w14:paraId="3E4E5F7E" w14:textId="77777777" w:rsidTr="00803AE7">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237" w:type="dxa"/>
            <w:hideMark/>
          </w:tcPr>
          <w:p w14:paraId="4658CA55" w14:textId="77777777" w:rsidR="00DE6AC3" w:rsidRDefault="00DE6AC3" w:rsidP="00803A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w:t>
            </w:r>
          </w:p>
        </w:tc>
        <w:tc>
          <w:tcPr>
            <w:tcW w:w="2543" w:type="dxa"/>
            <w:hideMark/>
          </w:tcPr>
          <w:p w14:paraId="5756F6FE" w14:textId="77777777" w:rsidR="00DE6AC3" w:rsidRDefault="00DE6AC3" w:rsidP="00803A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Precipitation Range</w:t>
            </w:r>
          </w:p>
        </w:tc>
      </w:tr>
      <w:tr w:rsidR="00DE6AC3" w14:paraId="06F40B6F" w14:textId="77777777" w:rsidTr="00803AE7">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B229DB" w14:textId="77777777" w:rsidR="00DE6AC3" w:rsidRDefault="00DE6AC3" w:rsidP="00803A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FCA288" w14:textId="77777777" w:rsidR="00DE6AC3" w:rsidRDefault="00DE6AC3" w:rsidP="00803A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0 - 0.02 and T</w:t>
            </w:r>
          </w:p>
        </w:tc>
      </w:tr>
      <w:tr w:rsidR="00DE6AC3" w14:paraId="706AD344" w14:textId="77777777" w:rsidTr="00803AE7">
        <w:trPr>
          <w:trHeight w:val="271"/>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B675480" w14:textId="77777777" w:rsidR="00DE6AC3" w:rsidRDefault="00DE6AC3" w:rsidP="00803AE7">
            <w:pPr>
              <w:jc w:val="center"/>
              <w:rPr>
                <w:rFonts w:ascii="Times New Roman" w:eastAsia="Times New Roman" w:hAnsi="Times New Roman" w:cs="Times New Roman"/>
                <w:sz w:val="24"/>
                <w:szCs w:val="24"/>
              </w:rPr>
            </w:pPr>
            <w:r>
              <w:rPr>
                <w:rFonts w:ascii="Times New Roman" w:hAnsi="Times New Roman" w:cs="Times New Roman"/>
                <w:sz w:val="24"/>
                <w:szCs w:val="24"/>
              </w:rPr>
              <w:t>B</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218EAA" w14:textId="77777777" w:rsidR="00DE6AC3" w:rsidRDefault="00DE6AC3" w:rsidP="00803A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0.03 - 0.10</w:t>
            </w:r>
          </w:p>
        </w:tc>
      </w:tr>
      <w:tr w:rsidR="00DE6AC3" w14:paraId="6D08F729" w14:textId="77777777" w:rsidTr="00803AE7">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37CACB" w14:textId="77777777" w:rsidR="00DE6AC3" w:rsidRDefault="00DE6AC3" w:rsidP="00803AE7">
            <w:pPr>
              <w:jc w:val="center"/>
              <w:rPr>
                <w:rFonts w:ascii="Times New Roman" w:eastAsia="Times New Roman" w:hAnsi="Times New Roman" w:cs="Times New Roman"/>
                <w:sz w:val="24"/>
                <w:szCs w:val="24"/>
              </w:rPr>
            </w:pPr>
            <w:r>
              <w:rPr>
                <w:rFonts w:ascii="Times New Roman" w:hAnsi="Times New Roman" w:cs="Times New Roman"/>
                <w:sz w:val="24"/>
                <w:szCs w:val="24"/>
              </w:rPr>
              <w:t>C</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6BA795" w14:textId="77777777" w:rsidR="00DE6AC3" w:rsidRDefault="00DE6AC3" w:rsidP="00803A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0.11 - 0.25</w:t>
            </w:r>
          </w:p>
        </w:tc>
      </w:tr>
      <w:tr w:rsidR="00DE6AC3" w14:paraId="06685A09" w14:textId="77777777" w:rsidTr="00803AE7">
        <w:trPr>
          <w:trHeight w:val="271"/>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BFEDFA7" w14:textId="77777777" w:rsidR="00DE6AC3" w:rsidRDefault="00DE6AC3" w:rsidP="00803AE7">
            <w:pPr>
              <w:jc w:val="center"/>
              <w:rPr>
                <w:rFonts w:ascii="Times New Roman" w:eastAsia="Times New Roman" w:hAnsi="Times New Roman" w:cs="Times New Roman"/>
                <w:sz w:val="24"/>
                <w:szCs w:val="24"/>
              </w:rPr>
            </w:pPr>
            <w:r>
              <w:rPr>
                <w:rFonts w:ascii="Times New Roman" w:hAnsi="Times New Roman" w:cs="Times New Roman"/>
                <w:sz w:val="24"/>
                <w:szCs w:val="24"/>
              </w:rPr>
              <w:t>D</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D6B19B" w14:textId="77777777" w:rsidR="00DE6AC3" w:rsidRDefault="00DE6AC3" w:rsidP="00803A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0.26 - 0.50</w:t>
            </w:r>
          </w:p>
        </w:tc>
      </w:tr>
      <w:tr w:rsidR="00DE6AC3" w14:paraId="231D0E15" w14:textId="77777777" w:rsidTr="00803AE7">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52ACC3" w14:textId="77777777" w:rsidR="00DE6AC3" w:rsidRDefault="00DE6AC3" w:rsidP="00803AE7">
            <w:pPr>
              <w:jc w:val="center"/>
              <w:rPr>
                <w:rFonts w:ascii="Times New Roman" w:eastAsia="Times New Roman" w:hAnsi="Times New Roman" w:cs="Times New Roman"/>
                <w:sz w:val="24"/>
                <w:szCs w:val="24"/>
              </w:rPr>
            </w:pPr>
            <w:r>
              <w:rPr>
                <w:rFonts w:ascii="Times New Roman" w:hAnsi="Times New Roman" w:cs="Times New Roman"/>
                <w:sz w:val="24"/>
                <w:szCs w:val="24"/>
              </w:rPr>
              <w:t>E</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BA9619" w14:textId="77777777" w:rsidR="00DE6AC3" w:rsidRDefault="00DE6AC3" w:rsidP="00803A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0.51 - 1.00</w:t>
            </w:r>
          </w:p>
        </w:tc>
      </w:tr>
      <w:tr w:rsidR="00DE6AC3" w14:paraId="2EFE1649" w14:textId="77777777" w:rsidTr="00803AE7">
        <w:trPr>
          <w:trHeight w:val="271"/>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B1FCAB" w14:textId="67078011" w:rsidR="00DE6AC3" w:rsidRDefault="00DE6AC3" w:rsidP="00803AE7">
            <w:pPr>
              <w:jc w:val="center"/>
              <w:rPr>
                <w:rFonts w:ascii="Times New Roman" w:eastAsia="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G</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336F913" w14:textId="3F938A66" w:rsidR="00DE6AC3" w:rsidRDefault="00DE6AC3" w:rsidP="00803A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1.01 – 2.00</w:t>
            </w:r>
          </w:p>
        </w:tc>
      </w:tr>
      <w:tr w:rsidR="00DE6AC3" w14:paraId="79557310" w14:textId="77777777" w:rsidTr="00803AE7">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9B3D4" w14:textId="2A351635" w:rsidR="00DE6AC3" w:rsidRDefault="00DE6AC3" w:rsidP="00803AE7">
            <w:pPr>
              <w:jc w:val="center"/>
              <w:rPr>
                <w:rFonts w:ascii="Times New Roman" w:eastAsia="Times New Roman" w:hAnsi="Times New Roman" w:cs="Times New Roman"/>
                <w:sz w:val="24"/>
                <w:szCs w:val="24"/>
              </w:rPr>
            </w:pPr>
            <w:r>
              <w:rPr>
                <w:rFonts w:ascii="Times New Roman" w:hAnsi="Times New Roman" w:cs="Times New Roman"/>
                <w:sz w:val="24"/>
                <w:szCs w:val="24"/>
              </w:rPr>
              <w:t>HIJ</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D64A687" w14:textId="60889881" w:rsidR="00DE6AC3" w:rsidRDefault="00DE6AC3" w:rsidP="00803A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hAnsi="Times New Roman" w:cs="Times New Roman"/>
                <w:sz w:val="24"/>
                <w:szCs w:val="24"/>
              </w:rPr>
              <w:t>2.01 – 4.00</w:t>
            </w:r>
          </w:p>
        </w:tc>
      </w:tr>
      <w:tr w:rsidR="00DE6AC3" w14:paraId="4AC265D0" w14:textId="77777777" w:rsidTr="00803AE7">
        <w:trPr>
          <w:trHeight w:val="256"/>
          <w:jc w:val="center"/>
        </w:trPr>
        <w:tc>
          <w:tcPr>
            <w:cnfStyle w:val="001000000000" w:firstRow="0" w:lastRow="0" w:firstColumn="1" w:lastColumn="0" w:oddVBand="0" w:evenVBand="0" w:oddHBand="0" w:evenHBand="0" w:firstRowFirstColumn="0" w:firstRowLastColumn="0" w:lastRowFirstColumn="0" w:lastRowLastColumn="0"/>
            <w:tcW w:w="12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2C2DD6" w14:textId="4695706D" w:rsidR="00DE6AC3" w:rsidRDefault="00DE6AC3" w:rsidP="00803AE7">
            <w:pPr>
              <w:jc w:val="center"/>
              <w:rPr>
                <w:rFonts w:ascii="Times New Roman" w:hAnsi="Times New Roman" w:cs="Times New Roman"/>
                <w:sz w:val="24"/>
                <w:szCs w:val="24"/>
              </w:rPr>
            </w:pPr>
            <w:r>
              <w:rPr>
                <w:rFonts w:ascii="Times New Roman" w:hAnsi="Times New Roman" w:cs="Times New Roman"/>
                <w:sz w:val="24"/>
                <w:szCs w:val="24"/>
              </w:rPr>
              <w:t>KLMN</w:t>
            </w:r>
          </w:p>
        </w:tc>
        <w:tc>
          <w:tcPr>
            <w:tcW w:w="25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E762B3" w14:textId="6B48E85F" w:rsidR="00DE6AC3" w:rsidRDefault="00DE6AC3" w:rsidP="00803A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4.01+</w:t>
            </w:r>
          </w:p>
        </w:tc>
      </w:tr>
    </w:tbl>
    <w:p w14:paraId="5B5FD944" w14:textId="77777777" w:rsidR="00DE6AC3" w:rsidRDefault="00DE6AC3" w:rsidP="00557CF2">
      <w:pPr>
        <w:spacing w:after="0" w:line="240" w:lineRule="auto"/>
      </w:pPr>
    </w:p>
    <w:p w14:paraId="071EDEDF" w14:textId="77777777" w:rsidR="00DE6AC3" w:rsidRDefault="00DE6AC3" w:rsidP="00557CF2">
      <w:pPr>
        <w:spacing w:after="0" w:line="240" w:lineRule="auto"/>
      </w:pPr>
    </w:p>
    <w:p w14:paraId="34B57F84" w14:textId="66C0FAD9" w:rsidR="00A84551" w:rsidRPr="003D6A50" w:rsidRDefault="003D6A50" w:rsidP="00A84551">
      <w:pPr>
        <w:spacing w:after="0" w:line="240" w:lineRule="auto"/>
        <w:rPr>
          <w:b/>
        </w:rPr>
      </w:pPr>
      <w:r>
        <w:rPr>
          <w:b/>
        </w:rPr>
        <w:t>Nex</w:t>
      </w:r>
      <w:r w:rsidR="00941F2B">
        <w:rPr>
          <w:b/>
        </w:rPr>
        <w:t>t</w:t>
      </w:r>
      <w:r>
        <w:rPr>
          <w:b/>
        </w:rPr>
        <w:t xml:space="preserve"> Steps</w:t>
      </w:r>
    </w:p>
    <w:p w14:paraId="5121BBF1" w14:textId="413C2468" w:rsidR="00A84551" w:rsidRDefault="00941F2B" w:rsidP="00941F2B">
      <w:pPr>
        <w:pStyle w:val="ListParagraph"/>
        <w:numPr>
          <w:ilvl w:val="0"/>
          <w:numId w:val="5"/>
        </w:numPr>
        <w:spacing w:after="0" w:line="240" w:lineRule="auto"/>
      </w:pPr>
      <w:r>
        <w:t>Quality Control on</w:t>
      </w:r>
      <w:r w:rsidR="00DE6AC3">
        <w:t xml:space="preserve"> </w:t>
      </w:r>
      <w:r>
        <w:t>ACM and IM PORs</w:t>
      </w:r>
    </w:p>
    <w:p w14:paraId="7CB5A82B" w14:textId="77777777" w:rsidR="00941F2B" w:rsidRDefault="00941F2B" w:rsidP="00941F2B">
      <w:pPr>
        <w:pStyle w:val="ListParagraph"/>
        <w:numPr>
          <w:ilvl w:val="0"/>
          <w:numId w:val="5"/>
        </w:numPr>
        <w:spacing w:after="0" w:line="240" w:lineRule="auto"/>
      </w:pPr>
    </w:p>
    <w:sectPr w:rsidR="00941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A1247"/>
    <w:multiLevelType w:val="hybridMultilevel"/>
    <w:tmpl w:val="725E0C50"/>
    <w:lvl w:ilvl="0" w:tplc="2B14FEB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D55C1"/>
    <w:multiLevelType w:val="hybridMultilevel"/>
    <w:tmpl w:val="1262A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42219"/>
    <w:multiLevelType w:val="hybridMultilevel"/>
    <w:tmpl w:val="BBDC73F0"/>
    <w:lvl w:ilvl="0" w:tplc="411050EA">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205CD"/>
    <w:multiLevelType w:val="hybridMultilevel"/>
    <w:tmpl w:val="3662BBD2"/>
    <w:lvl w:ilvl="0" w:tplc="D1AC32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90887"/>
    <w:multiLevelType w:val="hybridMultilevel"/>
    <w:tmpl w:val="072EDFAA"/>
    <w:lvl w:ilvl="0" w:tplc="1772AE8C">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DB3CFD"/>
    <w:multiLevelType w:val="hybridMultilevel"/>
    <w:tmpl w:val="75E69274"/>
    <w:lvl w:ilvl="0" w:tplc="09C2D426">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27536C"/>
    <w:multiLevelType w:val="hybridMultilevel"/>
    <w:tmpl w:val="D0340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7D"/>
    <w:rsid w:val="00055860"/>
    <w:rsid w:val="00106F87"/>
    <w:rsid w:val="00226F9F"/>
    <w:rsid w:val="00240F2C"/>
    <w:rsid w:val="0025767D"/>
    <w:rsid w:val="002665B5"/>
    <w:rsid w:val="00346B89"/>
    <w:rsid w:val="003D6A50"/>
    <w:rsid w:val="004632CD"/>
    <w:rsid w:val="00520402"/>
    <w:rsid w:val="0053084F"/>
    <w:rsid w:val="00557CF2"/>
    <w:rsid w:val="005E2FCB"/>
    <w:rsid w:val="006C7CBB"/>
    <w:rsid w:val="007D39B7"/>
    <w:rsid w:val="008566CA"/>
    <w:rsid w:val="008F0C82"/>
    <w:rsid w:val="0093775C"/>
    <w:rsid w:val="00941F2B"/>
    <w:rsid w:val="009919FC"/>
    <w:rsid w:val="009A0CCB"/>
    <w:rsid w:val="009C245A"/>
    <w:rsid w:val="00A155D3"/>
    <w:rsid w:val="00A84551"/>
    <w:rsid w:val="00AC3E85"/>
    <w:rsid w:val="00C3766C"/>
    <w:rsid w:val="00D2704C"/>
    <w:rsid w:val="00D4295B"/>
    <w:rsid w:val="00D6780E"/>
    <w:rsid w:val="00D80837"/>
    <w:rsid w:val="00DE6AC3"/>
    <w:rsid w:val="00E16ED0"/>
    <w:rsid w:val="00EA66E1"/>
    <w:rsid w:val="00EC0313"/>
    <w:rsid w:val="00F1385E"/>
    <w:rsid w:val="00FE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67D"/>
    <w:pPr>
      <w:ind w:left="720"/>
      <w:contextualSpacing/>
    </w:pPr>
  </w:style>
  <w:style w:type="table" w:customStyle="1" w:styleId="GridTable41">
    <w:name w:val="Grid Table 41"/>
    <w:basedOn w:val="TableNormal"/>
    <w:uiPriority w:val="49"/>
    <w:rsid w:val="005E2FCB"/>
    <w:pPr>
      <w:spacing w:after="0" w:line="240" w:lineRule="auto"/>
    </w:pPr>
    <w:rPr>
      <w:rFonts w:asciiTheme="minorHAnsi" w:eastAsiaTheme="minorEastAsia" w:hAnsiTheme="minorHAnsi" w:cstheme="minorBidi"/>
      <w:sz w:val="22"/>
      <w:szCs w:val="22"/>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67D"/>
    <w:pPr>
      <w:ind w:left="720"/>
      <w:contextualSpacing/>
    </w:pPr>
  </w:style>
  <w:style w:type="table" w:customStyle="1" w:styleId="GridTable41">
    <w:name w:val="Grid Table 41"/>
    <w:basedOn w:val="TableNormal"/>
    <w:uiPriority w:val="49"/>
    <w:rsid w:val="005E2FCB"/>
    <w:pPr>
      <w:spacing w:after="0" w:line="240" w:lineRule="auto"/>
    </w:pPr>
    <w:rPr>
      <w:rFonts w:asciiTheme="minorHAnsi" w:eastAsiaTheme="minorEastAsia" w:hAnsiTheme="minorHAnsi" w:cstheme="minorBidi"/>
      <w:sz w:val="22"/>
      <w:szCs w:val="22"/>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45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Fogarty</dc:creator>
  <cp:keywords/>
  <dc:description/>
  <cp:lastModifiedBy>Joseph Fogarty</cp:lastModifiedBy>
  <cp:revision>8</cp:revision>
  <dcterms:created xsi:type="dcterms:W3CDTF">2018-06-16T01:16:00Z</dcterms:created>
  <dcterms:modified xsi:type="dcterms:W3CDTF">2018-07-24T19:42:00Z</dcterms:modified>
</cp:coreProperties>
</file>