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1.3</w:t>
        <w:br/>
        <w:t>更新日期 2026-09-16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26080" cy="877824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778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設定每次顯示的本機 RAG 證據數，範圍 1 至 20；Web 補充不計入此數量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速度優先的回答模型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品質優先的回答模型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適合需要較完整整理的問題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使用 Ollama Cloud 的雲端品質優先模型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；證據不足時可嘗試官方網頁補充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證據卡依編號排列，本機證據從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 xml:space="preserve"> 開始；若另有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成功回答中的引用編號與展開的法規證據卡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官方網頁。系統會先排除未包含問題明確查詢對象的 Web 結果，再將保留來源接續本機證據編號。介面會標示 Web 筆數、擷取時間與連結。若未設定 key、連線失敗或沒有相關來源，介面會顯示狀態，本機檢索結果仍會保留。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關閉同一專案先前啟動的 Streamlit；不要終止不相干程式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台灣消防法規 RAG 前端操作說明書</dc:title>
  <dc:subject/>
  <dc:creator>台灣消防法規 RAG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