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666666"/>
          <w:sz w:val="18"/>
          <w:szCs w:val="18"/>
        </w:rPr>
        <w:t xml:space="preserve">PROFESORADO DE EDUCACIÓN INICIAL · 2° AÑO · CABA SUR</w:t>
      </w:r>
    </w:p>
    <w:p>
      <w:pPr>
        <w:spacing w:after="60" w:before="0"/>
      </w:pPr>
      <w:r>
        <w:rPr>
          <w:rFonts w:ascii="Arial" w:cs="Arial" w:eastAsia="Arial" w:hAnsi="Arial"/>
          <w:b/>
          <w:bCs/>
          <w:color w:val="B85042"/>
          <w:sz w:val="32"/>
          <w:szCs w:val="32"/>
        </w:rPr>
        <w:t xml:space="preserve">Psicología Educacional</w:t>
      </w:r>
    </w:p>
    <w:p>
      <w:pPr>
        <w:spacing w:after="200" w:before="0"/>
      </w:pPr>
      <w:r>
        <w:rPr>
          <w:rFonts w:ascii="Arial" w:cs="Arial" w:eastAsia="Arial" w:hAnsi="Arial"/>
          <w:color w:val="2C2C2C"/>
          <w:sz w:val="22"/>
          <w:szCs w:val="22"/>
        </w:rPr>
        <w:t xml:space="preserve">Plan de clase · Clase 7</w:t>
      </w:r>
    </w:p>
    <w:p>
      <w:pPr>
        <w:pBdr>
          <w:bottom w:val="single" w:color="B85042" w:sz="4" w:space="1"/>
        </w:pBdr>
        <w:spacing w:after="120" w:before="120"/>
      </w:pPr>
      <w:r>
        <w:t xml:space="preserve"/>
      </w:r>
    </w:p>
    <w:p>
      <w:pPr>
        <w:spacing w:after="60" w:before="200"/>
      </w:pPr>
      <w:r>
        <w:rPr>
          <w:rFonts w:ascii="Arial" w:cs="Arial" w:eastAsia="Arial" w:hAnsi="Arial"/>
          <w:b/>
          <w:bCs/>
          <w:color w:val="B85042"/>
          <w:sz w:val="26"/>
          <w:szCs w:val="26"/>
        </w:rPr>
        <w:t xml:space="preserve">CLASE 7 · 80 min</w:t>
      </w:r>
    </w:p>
    <w:p>
      <w:pPr>
        <w:spacing w:after="60" w:before="0"/>
      </w:pPr>
      <w:r>
        <w:rPr>
          <w:rFonts w:ascii="Arial" w:cs="Arial" w:eastAsia="Arial" w:hAnsi="Arial"/>
          <w:b/>
          <w:bCs/>
          <w:color w:val="2C2C2C"/>
          <w:sz w:val="32"/>
          <w:szCs w:val="32"/>
        </w:rPr>
        <w:t xml:space="preserve">Bruner y Ausubel: aprender con sentido</w:t>
      </w:r>
    </w:p>
    <w:p>
      <w:pPr>
        <w:spacing w:after="240" w:before="0"/>
      </w:pPr>
      <w:r>
        <w:rPr>
          <w:rFonts w:ascii="Arial" w:cs="Arial" w:eastAsia="Arial" w:hAnsi="Arial"/>
          <w:i/>
          <w:iCs/>
          <w:color w:val="666666"/>
          <w:sz w:val="22"/>
          <w:szCs w:val="22"/>
        </w:rPr>
        <w:t xml:space="preserve">Del aprendizaje por descubrimiento al aprendizaje significativo</w:t>
      </w:r>
    </w:p>
    <w:p>
      <w:pPr>
        <w:spacing w:after="80" w:before="60"/>
      </w:pPr>
      <w:r>
        <w:rPr>
          <w:rFonts w:ascii="Arial" w:cs="Arial" w:eastAsia="Arial" w:hAnsi="Arial"/>
          <w:b/>
          <w:bCs/>
          <w:color w:val="FFFFFF"/>
          <w:sz w:val="18"/>
          <w:szCs w:val="18"/>
          <w:shd w:fill="B85042" w:val="clear"/>
        </w:rPr>
        <w:t xml:space="preserve">  OBJETIVOS DE LA CLASE  </w:t>
      </w:r>
    </w:p>
    <w:p>
      <w:pPr>
        <w:spacing w:after="60" w:before="80"/>
      </w:pPr>
    </w:p>
    <w:p>
      <w:pPr>
        <w:spacing w:after="40" w:before="40"/>
      </w:pPr>
      <w:r>
        <w:rPr>
          <w:rFonts w:ascii="Arial" w:cs="Arial" w:eastAsia="Arial" w:hAnsi="Arial"/>
          <w:color w:val="2C2C2C"/>
          <w:sz w:val="20"/>
          <w:szCs w:val="20"/>
        </w:rPr>
        <w:t xml:space="preserve">◆  Conocer los aportes centrales de Bruner y Ausubel a la psicología educacional.</w:t>
      </w:r>
    </w:p>
    <w:p>
      <w:pPr>
        <w:spacing w:after="40" w:before="40"/>
      </w:pPr>
      <w:r>
        <w:rPr>
          <w:rFonts w:ascii="Arial" w:cs="Arial" w:eastAsia="Arial" w:hAnsi="Arial"/>
          <w:color w:val="2C2C2C"/>
          <w:sz w:val="20"/>
          <w:szCs w:val="20"/>
        </w:rPr>
        <w:t xml:space="preserve">◆  Distinguir aprendizaje por descubrimiento de aprendizaje significativo.</w:t>
      </w:r>
    </w:p>
    <w:p>
      <w:pPr>
        <w:spacing w:after="40" w:before="40"/>
      </w:pPr>
      <w:r>
        <w:rPr>
          <w:rFonts w:ascii="Arial" w:cs="Arial" w:eastAsia="Arial" w:hAnsi="Arial"/>
          <w:color w:val="2C2C2C"/>
          <w:sz w:val="20"/>
          <w:szCs w:val="20"/>
        </w:rPr>
        <w:t xml:space="preserve">◆  Vincular ambos enfoques con las prácticas de enseñanza en el nivel inicial.</w:t>
      </w:r>
    </w:p>
    <w:p>
      <w:pPr>
        <w:spacing w:after="0" w:before="80"/>
      </w:pPr>
    </w:p>
    <w:p>
      <w:pPr>
        <w:pBdr>
          <w:bottom w:val="single" w:color="B85042" w:sz="4" w:space="1"/>
        </w:pBdr>
        <w:spacing w:after="120" w:before="120"/>
      </w:pPr>
      <w:r>
        <w:t xml:space="preserve"/>
      </w:r>
    </w:p>
    <w:p>
      <w:pPr>
        <w:spacing w:after="80" w:before="60"/>
      </w:pPr>
      <w:r>
        <w:rPr>
          <w:rFonts w:ascii="Arial" w:cs="Arial" w:eastAsia="Arial" w:hAnsi="Arial"/>
          <w:b/>
          <w:bCs/>
          <w:color w:val="FFFFFF"/>
          <w:sz w:val="18"/>
          <w:szCs w:val="18"/>
          <w:shd w:fill="B85042" w:val="clear"/>
        </w:rPr>
        <w:t xml:space="preserve">  DESARROLLO DE LA CLASE  </w:t>
      </w:r>
    </w:p>
    <w:p>
      <w:pPr>
        <w:spacing w:after="60" w:before="100"/>
      </w:pPr>
    </w:p>
    <w:p>
      <w:pPr>
        <w:spacing w:after="80" w:before="200"/>
      </w:pPr>
      <w:r>
        <w:rPr>
          <w:rFonts w:ascii="Arial" w:cs="Arial" w:eastAsia="Arial" w:hAnsi="Arial"/>
          <w:b/>
          <w:bCs/>
          <w:color w:val="B85042"/>
          <w:sz w:val="22"/>
          <w:szCs w:val="22"/>
        </w:rPr>
        <w:t xml:space="preserve">1   Recuperación y conexión con lo visto    10 min</w:t>
      </w:r>
    </w:p>
    <w:p>
      <w:pPr>
        <w:spacing w:after="60" w:before="60"/>
      </w:pPr>
      <w:r>
        <w:rPr>
          <w:rFonts w:ascii="Arial" w:cs="Arial" w:eastAsia="Arial" w:hAnsi="Arial"/>
          <w:color w:val="2C2C2C"/>
          <w:sz w:val="20"/>
          <w:szCs w:val="20"/>
        </w:rPr>
        <w:t xml:space="preserve">La docente retoma brevemente los aportes de Piaget y Vygotski trabajados en la clase anterior. Pregunta vertebradora: '¿Qué lugar tiene la enseñanza en las teorías que vimos? ¿Hay alguien que se haya preguntado específicamente cómo debe enseñar la docente?' Se anota en el pizarrón lo que el grupo menciona. Esta apertura instala la necesidad de un enfoque que ponga el foco en la intervención pedagógica concreta.</w:t>
      </w:r>
    </w:p>
    <w:p>
      <w:pPr>
        <w:spacing w:after="0" w:before="100"/>
      </w:pPr>
    </w:p>
    <w:p>
      <w:pPr>
        <w:spacing w:after="80" w:before="200"/>
      </w:pPr>
      <w:r>
        <w:rPr>
          <w:rFonts w:ascii="Arial" w:cs="Arial" w:eastAsia="Arial" w:hAnsi="Arial"/>
          <w:b/>
          <w:bCs/>
          <w:color w:val="B85042"/>
          <w:sz w:val="22"/>
          <w:szCs w:val="22"/>
        </w:rPr>
        <w:t xml:space="preserve">2   Jerome Bruner: aprender descubriendo    25 min</w:t>
      </w:r>
    </w:p>
    <w:p>
      <w:pPr>
        <w:spacing w:after="60" w:before="60"/>
      </w:pPr>
      <w:r>
        <w:rPr>
          <w:rFonts w:ascii="Arial" w:cs="Arial" w:eastAsia="Arial" w:hAnsi="Arial"/>
          <w:color w:val="2C2C2C"/>
          <w:sz w:val="20"/>
          <w:szCs w:val="20"/>
        </w:rPr>
        <w:t xml:space="preserve">Exposición dialogada. La docente presenta a Bruner como un puente entre el cognitivismo y el constructivismo. Ejes de desarrollo:</w:t>
      </w:r>
    </w:p>
    <w:p>
      <w:pPr>
        <w:pStyle w:val="ListParagraph"/>
        <w:numPr>
          <w:ilvl w:val="0"/>
          <w:numId w:val="2"/>
        </w:numPr>
        <w:spacing w:after="40" w:before="40"/>
      </w:pPr>
      <w:r>
        <w:rPr>
          <w:rFonts w:ascii="Arial" w:cs="Arial" w:eastAsia="Arial" w:hAnsi="Arial"/>
          <w:b w:val="false"/>
          <w:bCs w:val="false"/>
          <w:color w:val="2C2C2C"/>
          <w:sz w:val="20"/>
          <w:szCs w:val="20"/>
        </w:rPr>
        <w:t xml:space="preserve">El aprendizaje por descubrimiento: el sujeto construye el conocimiento a través de la exploración activa, no por transmisión directa.</w:t>
      </w:r>
    </w:p>
    <w:p>
      <w:pPr>
        <w:pStyle w:val="ListParagraph"/>
        <w:numPr>
          <w:ilvl w:val="0"/>
          <w:numId w:val="2"/>
        </w:numPr>
        <w:spacing w:after="40" w:before="40"/>
      </w:pPr>
      <w:r>
        <w:rPr>
          <w:rFonts w:ascii="Arial" w:cs="Arial" w:eastAsia="Arial" w:hAnsi="Arial"/>
          <w:b w:val="false"/>
          <w:bCs w:val="false"/>
          <w:color w:val="2C2C2C"/>
          <w:sz w:val="20"/>
          <w:szCs w:val="20"/>
        </w:rPr>
        <w:t xml:space="preserve">El concepto de currículum en espiral: los contenidos se retoman en distintos momentos del desarrollo con mayor complejidad. ¿Cómo aparece esto en el jardín?</w:t>
      </w:r>
    </w:p>
    <w:p>
      <w:pPr>
        <w:pStyle w:val="ListParagraph"/>
        <w:numPr>
          <w:ilvl w:val="0"/>
          <w:numId w:val="2"/>
        </w:numPr>
        <w:spacing w:after="40" w:before="40"/>
      </w:pPr>
      <w:r>
        <w:rPr>
          <w:rFonts w:ascii="Arial" w:cs="Arial" w:eastAsia="Arial" w:hAnsi="Arial"/>
          <w:b w:val="false"/>
          <w:bCs w:val="false"/>
          <w:color w:val="2C2C2C"/>
          <w:sz w:val="20"/>
          <w:szCs w:val="20"/>
        </w:rPr>
        <w:t xml:space="preserve">Los modos de representación: enactivo (acción), icónico (imágenes), simbólico (lenguaje y símbolos). Énfasis en los primeros dos para el nivel inicial.</w:t>
      </w:r>
    </w:p>
    <w:p>
      <w:pPr>
        <w:pStyle w:val="ListParagraph"/>
        <w:numPr>
          <w:ilvl w:val="0"/>
          <w:numId w:val="2"/>
        </w:numPr>
        <w:spacing w:after="40" w:before="40"/>
      </w:pPr>
      <w:r>
        <w:rPr>
          <w:rFonts w:ascii="Arial" w:cs="Arial" w:eastAsia="Arial" w:hAnsi="Arial"/>
          <w:b w:val="false"/>
          <w:bCs w:val="false"/>
          <w:color w:val="2C2C2C"/>
          <w:sz w:val="20"/>
          <w:szCs w:val="20"/>
        </w:rPr>
        <w:t xml:space="preserve">El andamiaje como concepto desarrollado por Bruner retomando a Vygotski: ¿qué diferencias y continuidades hay?</w:t>
      </w:r>
    </w:p>
    <w:p>
      <w:pPr>
        <w:spacing w:after="60" w:before="60"/>
      </w:pPr>
      <w:r>
        <w:rPr>
          <w:rFonts w:ascii="Arial" w:cs="Arial" w:eastAsia="Arial" w:hAnsi="Arial"/>
          <w:color w:val="2C2C2C"/>
          <w:sz w:val="20"/>
          <w:szCs w:val="20"/>
        </w:rPr>
        <w:t xml:space="preserve">La docente cierra con un ejemplo concreto: una propuesta de sala donde los niños exploran materiales naturales sin que la docente dé la respuesta de antemano. ¿Qué está aprendiendo el niño? ¿Qué está haciendo la docente?</w:t>
      </w:r>
    </w:p>
    <w:p>
      <w:pPr>
        <w:spacing w:after="0" w:before="100"/>
      </w:pPr>
    </w:p>
    <w:p>
      <w:pPr>
        <w:spacing w:after="80" w:before="200"/>
      </w:pPr>
      <w:r>
        <w:rPr>
          <w:rFonts w:ascii="Arial" w:cs="Arial" w:eastAsia="Arial" w:hAnsi="Arial"/>
          <w:b/>
          <w:bCs/>
          <w:color w:val="B85042"/>
          <w:sz w:val="22"/>
          <w:szCs w:val="22"/>
        </w:rPr>
        <w:t xml:space="preserve">3   David Ausubel: aprender con sentido    20 min</w:t>
      </w:r>
    </w:p>
    <w:p>
      <w:pPr>
        <w:spacing w:after="60" w:before="60"/>
      </w:pPr>
      <w:r>
        <w:rPr>
          <w:rFonts w:ascii="Arial" w:cs="Arial" w:eastAsia="Arial" w:hAnsi="Arial"/>
          <w:color w:val="2C2C2C"/>
          <w:sz w:val="20"/>
          <w:szCs w:val="20"/>
        </w:rPr>
        <w:t xml:space="preserve">Exposición dialogada. La docente introduce a Ausubel como contrapunto parcial con Bruner: no todo aprendizaje debe ser descubierto; puede ser receptivo y significativo al mismo tiempo. Ejes:</w:t>
      </w:r>
    </w:p>
    <w:p>
      <w:pPr>
        <w:pStyle w:val="ListParagraph"/>
        <w:numPr>
          <w:ilvl w:val="0"/>
          <w:numId w:val="2"/>
        </w:numPr>
        <w:spacing w:after="40" w:before="40"/>
      </w:pPr>
      <w:r>
        <w:rPr>
          <w:rFonts w:ascii="Arial" w:cs="Arial" w:eastAsia="Arial" w:hAnsi="Arial"/>
          <w:b w:val="false"/>
          <w:bCs w:val="false"/>
          <w:color w:val="2C2C2C"/>
          <w:sz w:val="20"/>
          <w:szCs w:val="20"/>
        </w:rPr>
        <w:t xml:space="preserve">Aprendizaje significativo vs. aprendizaje mecánico: la diferencia no está en si se descubre o se recibe, sino en si se conecta con los conocimientos previos.</w:t>
      </w:r>
    </w:p>
    <w:p>
      <w:pPr>
        <w:pStyle w:val="ListParagraph"/>
        <w:numPr>
          <w:ilvl w:val="0"/>
          <w:numId w:val="2"/>
        </w:numPr>
        <w:spacing w:after="40" w:before="40"/>
      </w:pPr>
      <w:r>
        <w:rPr>
          <w:rFonts w:ascii="Arial" w:cs="Arial" w:eastAsia="Arial" w:hAnsi="Arial"/>
          <w:b w:val="false"/>
          <w:bCs w:val="false"/>
          <w:color w:val="2C2C2C"/>
          <w:sz w:val="20"/>
          <w:szCs w:val="20"/>
        </w:rPr>
        <w:t xml:space="preserve">Condiciones para el aprendizaje significativo: material potencialmente significativo + disposición del sujeto a relacionar.</w:t>
      </w:r>
    </w:p>
    <w:p>
      <w:pPr>
        <w:pStyle w:val="ListParagraph"/>
        <w:numPr>
          <w:ilvl w:val="0"/>
          <w:numId w:val="2"/>
        </w:numPr>
        <w:spacing w:after="40" w:before="40"/>
      </w:pPr>
      <w:r>
        <w:rPr>
          <w:rFonts w:ascii="Arial" w:cs="Arial" w:eastAsia="Arial" w:hAnsi="Arial"/>
          <w:b w:val="false"/>
          <w:bCs w:val="false"/>
          <w:color w:val="2C2C2C"/>
          <w:sz w:val="20"/>
          <w:szCs w:val="20"/>
        </w:rPr>
        <w:t xml:space="preserve">El concepto de subsumidores (organizadores previos): estructuras cognitivas existentes a las que se ancla el nuevo conocimiento.</w:t>
      </w:r>
    </w:p>
    <w:p>
      <w:pPr>
        <w:pStyle w:val="ListParagraph"/>
        <w:numPr>
          <w:ilvl w:val="0"/>
          <w:numId w:val="2"/>
        </w:numPr>
        <w:spacing w:after="40" w:before="40"/>
      </w:pPr>
      <w:r>
        <w:rPr>
          <w:rFonts w:ascii="Arial" w:cs="Arial" w:eastAsia="Arial" w:hAnsi="Arial"/>
          <w:b w:val="false"/>
          <w:bCs w:val="false"/>
          <w:color w:val="2C2C2C"/>
          <w:sz w:val="20"/>
          <w:szCs w:val="20"/>
        </w:rPr>
        <w:t xml:space="preserve">Implicancias para el nivel inicial: ¿qué significa partir de los saberes previos de los niños? ¿Cómo se activan esos saberes en la sala?</w:t>
      </w:r>
    </w:p>
    <w:p>
      <w:pPr>
        <w:spacing w:after="60" w:before="60"/>
      </w:pPr>
      <w:r>
        <w:rPr>
          <w:rFonts w:ascii="Arial" w:cs="Arial" w:eastAsia="Arial" w:hAnsi="Arial"/>
          <w:color w:val="2C2C2C"/>
          <w:sz w:val="20"/>
          <w:szCs w:val="20"/>
        </w:rPr>
        <w:t xml:space="preserve">Se trabaja con un ejemplo concreto: una docente que inicia una unidad sobre animales del mar preguntando '¿qué saben de los peces?' antes de introducir información nueva. ¿Qué está haciendo desde la perspectiva de Ausubel?</w:t>
      </w:r>
    </w:p>
    <w:p>
      <w:pPr>
        <w:spacing w:after="0" w:before="100"/>
      </w:pPr>
    </w:p>
    <w:p>
      <w:pPr>
        <w:spacing w:after="80" w:before="200"/>
      </w:pPr>
      <w:r>
        <w:rPr>
          <w:rFonts w:ascii="Arial" w:cs="Arial" w:eastAsia="Arial" w:hAnsi="Arial"/>
          <w:b/>
          <w:bCs/>
          <w:color w:val="B85042"/>
          <w:sz w:val="22"/>
          <w:szCs w:val="22"/>
        </w:rPr>
        <w:t xml:space="preserve">4   Trabajo en grupos y puesta en común    25 min</w:t>
      </w:r>
    </w:p>
    <w:p>
      <w:pPr>
        <w:spacing w:after="60" w:before="60"/>
      </w:pPr>
      <w:r>
        <w:rPr>
          <w:rFonts w:ascii="Arial" w:cs="Arial" w:eastAsia="Arial" w:hAnsi="Arial"/>
          <w:color w:val="2C2C2C"/>
          <w:sz w:val="20"/>
          <w:szCs w:val="20"/>
        </w:rPr>
        <w:t xml:space="preserve">Se forman grupos de 3-4. Cada grupo recibe una tarjeta con una situación de sala y debe responder:</w:t>
      </w:r>
    </w:p>
    <w:p>
      <w:pPr>
        <w:pStyle w:val="ListParagraph"/>
        <w:numPr>
          <w:ilvl w:val="0"/>
          <w:numId w:val="2"/>
        </w:numPr>
        <w:spacing w:after="40" w:before="40"/>
      </w:pPr>
      <w:r>
        <w:rPr>
          <w:rFonts w:ascii="Arial" w:cs="Arial" w:eastAsia="Arial" w:hAnsi="Arial"/>
          <w:b w:val="false"/>
          <w:bCs w:val="false"/>
          <w:color w:val="2C2C2C"/>
          <w:sz w:val="20"/>
          <w:szCs w:val="20"/>
        </w:rPr>
        <w:t xml:space="preserve">¿Qué teoría fundamenta esta práctica: Bruner, Ausubel o ambas?</w:t>
      </w:r>
    </w:p>
    <w:p>
      <w:pPr>
        <w:pStyle w:val="ListParagraph"/>
        <w:numPr>
          <w:ilvl w:val="0"/>
          <w:numId w:val="2"/>
        </w:numPr>
        <w:spacing w:after="40" w:before="40"/>
      </w:pPr>
      <w:r>
        <w:rPr>
          <w:rFonts w:ascii="Arial" w:cs="Arial" w:eastAsia="Arial" w:hAnsi="Arial"/>
          <w:b w:val="false"/>
          <w:bCs w:val="false"/>
          <w:color w:val="2C2C2C"/>
          <w:sz w:val="20"/>
          <w:szCs w:val="20"/>
        </w:rPr>
        <w:t xml:space="preserve">¿Qué cambiarían o agregarían desde cada enfoque?</w:t>
      </w:r>
    </w:p>
    <w:p>
      <w:pPr>
        <w:pStyle w:val="ListParagraph"/>
        <w:numPr>
          <w:ilvl w:val="0"/>
          <w:numId w:val="2"/>
        </w:numPr>
        <w:spacing w:after="40" w:before="40"/>
      </w:pPr>
      <w:r>
        <w:rPr>
          <w:rFonts w:ascii="Arial" w:cs="Arial" w:eastAsia="Arial" w:hAnsi="Arial"/>
          <w:b w:val="false"/>
          <w:bCs w:val="false"/>
          <w:color w:val="2C2C2C"/>
          <w:sz w:val="20"/>
          <w:szCs w:val="20"/>
        </w:rPr>
        <w:t xml:space="preserve">¿Cuál sería el rol de la docente en esta situación según cada autor?</w:t>
      </w:r>
    </w:p>
    <w:p>
      <w:pPr>
        <w:spacing w:after="60" w:before="60"/>
      </w:pPr>
      <w:r>
        <w:rPr>
          <w:rFonts w:ascii="Arial" w:cs="Arial" w:eastAsia="Arial" w:hAnsi="Arial"/>
          <w:color w:val="2C2C2C"/>
          <w:sz w:val="20"/>
          <w:szCs w:val="20"/>
        </w:rPr>
        <w:t xml:space="preserve">Puesta en común de 10 minutos. La docente sistematiza en el pizarrón los puntos de contacto y las diferencias entre ambos enfoques.</w:t>
      </w:r>
    </w:p>
    <w:p>
      <w:pPr>
        <w:spacing w:after="0" w:before="100"/>
      </w:pPr>
    </w:p>
    <w:p>
      <w:pPr>
        <w:pBdr>
          <w:bottom w:val="single" w:color="B85042" w:sz="4" w:space="1"/>
        </w:pBdr>
        <w:spacing w:after="120" w:before="120"/>
      </w:pPr>
      <w:r>
        <w:t xml:space="preserve"/>
      </w:r>
    </w:p>
    <w:p>
      <w:pPr>
        <w:spacing w:after="80" w:before="60"/>
      </w:pPr>
      <w:r>
        <w:rPr>
          <w:rFonts w:ascii="Arial" w:cs="Arial" w:eastAsia="Arial" w:hAnsi="Arial"/>
          <w:b/>
          <w:bCs/>
          <w:color w:val="FFFFFF"/>
          <w:sz w:val="18"/>
          <w:szCs w:val="18"/>
          <w:shd w:fill="B85042" w:val="clear"/>
        </w:rPr>
        <w:t xml:space="preserve">  MATERIALES Y TEXTOS  </w:t>
      </w:r>
    </w:p>
    <w:p>
      <w:pPr>
        <w:spacing w:after="60" w:before="80"/>
      </w:pPr>
    </w:p>
    <w:p>
      <w:pPr>
        <w:spacing w:after="40" w:before="40"/>
      </w:pPr>
      <w:r>
        <w:rPr>
          <w:rFonts w:ascii="Arial" w:cs="Arial" w:eastAsia="Arial" w:hAnsi="Arial"/>
          <w:b/>
          <w:bCs/>
          <w:color w:val="B85042"/>
          <w:sz w:val="20"/>
          <w:szCs w:val="20"/>
        </w:rPr>
        <w:t xml:space="preserve">■ Material de cátedra:  </w:t>
      </w:r>
      <w:r>
        <w:rPr>
          <w:rFonts w:ascii="Arial" w:cs="Arial" w:eastAsia="Arial" w:hAnsi="Arial"/>
          <w:color w:val="2C2C2C"/>
          <w:sz w:val="20"/>
          <w:szCs w:val="20"/>
        </w:rPr>
        <w:t xml:space="preserve">Ficha de lectura Clase 7 — Bruner y Ausubel.</w:t>
      </w:r>
    </w:p>
    <w:p>
      <w:pPr>
        <w:spacing w:after="40" w:before="40"/>
      </w:pPr>
      <w:r>
        <w:rPr>
          <w:rFonts w:ascii="Arial" w:cs="Arial" w:eastAsia="Arial" w:hAnsi="Arial"/>
          <w:b/>
          <w:bCs/>
          <w:color w:val="B85042"/>
          <w:sz w:val="20"/>
          <w:szCs w:val="20"/>
        </w:rPr>
        <w:t xml:space="preserve">■ Cuadro comparativo:  </w:t>
      </w:r>
      <w:r>
        <w:rPr>
          <w:rFonts w:ascii="Arial" w:cs="Arial" w:eastAsia="Arial" w:hAnsi="Arial"/>
          <w:color w:val="2C2C2C"/>
          <w:sz w:val="20"/>
          <w:szCs w:val="20"/>
        </w:rPr>
        <w:t xml:space="preserve">Bruner / Ausubel (en el cuadernillo de materiales).</w:t>
      </w:r>
    </w:p>
    <w:p>
      <w:pPr>
        <w:spacing w:after="40" w:before="40"/>
      </w:pPr>
      <w:r>
        <w:rPr>
          <w:rFonts w:ascii="Arial" w:cs="Arial" w:eastAsia="Arial" w:hAnsi="Arial"/>
          <w:b/>
          <w:bCs/>
          <w:color w:val="B85042"/>
          <w:sz w:val="20"/>
          <w:szCs w:val="20"/>
        </w:rPr>
        <w:t xml:space="preserve">■ Tarjetas de situaciones de sala:  </w:t>
      </w:r>
      <w:r>
        <w:rPr>
          <w:rFonts w:ascii="Arial" w:cs="Arial" w:eastAsia="Arial" w:hAnsi="Arial"/>
          <w:color w:val="2C2C2C"/>
          <w:sz w:val="20"/>
          <w:szCs w:val="20"/>
        </w:rPr>
        <w:t xml:space="preserve">para el trabajo en grupos (elaboradas por la docente).</w:t>
      </w:r>
    </w:p>
    <w:p>
      <w:pPr>
        <w:spacing w:after="40" w:before="40"/>
      </w:pPr>
      <w:r>
        <w:rPr>
          <w:rFonts w:ascii="Arial" w:cs="Arial" w:eastAsia="Arial" w:hAnsi="Arial"/>
          <w:b/>
          <w:bCs/>
          <w:color w:val="B85042"/>
          <w:sz w:val="20"/>
          <w:szCs w:val="20"/>
        </w:rPr>
        <w:t xml:space="preserve">■ Referencia:  </w:t>
      </w:r>
      <w:r>
        <w:rPr>
          <w:rFonts w:ascii="Arial" w:cs="Arial" w:eastAsia="Arial" w:hAnsi="Arial"/>
          <w:color w:val="2C2C2C"/>
          <w:sz w:val="20"/>
          <w:szCs w:val="20"/>
        </w:rPr>
        <w:t xml:space="preserve">Pozo, J. I. (1989). Teorías cognitivas del aprendizaje. Madrid: Morata.</w:t>
      </w:r>
    </w:p>
    <w:p>
      <w:pPr>
        <w:spacing w:after="40" w:before="40"/>
      </w:pPr>
      <w:r>
        <w:rPr>
          <w:rFonts w:ascii="Arial" w:cs="Arial" w:eastAsia="Arial" w:hAnsi="Arial"/>
          <w:b/>
          <w:bCs/>
          <w:color w:val="B85042"/>
          <w:sz w:val="20"/>
          <w:szCs w:val="20"/>
        </w:rPr>
        <w:t xml:space="preserve">■ Referencia:  </w:t>
      </w:r>
      <w:r>
        <w:rPr>
          <w:rFonts w:ascii="Arial" w:cs="Arial" w:eastAsia="Arial" w:hAnsi="Arial"/>
          <w:color w:val="2C2C2C"/>
          <w:sz w:val="20"/>
          <w:szCs w:val="20"/>
        </w:rPr>
        <w:t xml:space="preserve">Ausubel, D. (1983). Psicología educativa. México: Trillas. (cap. 1 y 2).</w:t>
      </w:r>
    </w:p>
    <w:p>
      <w:pPr>
        <w:spacing w:after="0" w:before="100"/>
      </w:pPr>
    </w:p>
    <w:p>
      <w:pPr>
        <w:pBdr>
          <w:bottom w:val="single" w:color="B85042" w:sz="4" w:space="1"/>
        </w:pBdr>
        <w:spacing w:after="120" w:before="120"/>
      </w:pPr>
      <w:r>
        <w:t xml:space="preserve"/>
      </w:r>
    </w:p>
    <w:p>
      <w:pPr>
        <w:spacing w:after="80" w:before="60"/>
      </w:pPr>
      <w:r>
        <w:rPr>
          <w:rFonts w:ascii="Arial" w:cs="Arial" w:eastAsia="Arial" w:hAnsi="Arial"/>
          <w:b/>
          <w:bCs/>
          <w:color w:val="FFFFFF"/>
          <w:sz w:val="18"/>
          <w:szCs w:val="18"/>
          <w:shd w:fill="B85042" w:val="clear"/>
        </w:rPr>
        <w:t xml:space="preserve">  PARA LA PRÓXIMA CLASE  </w:t>
      </w:r>
    </w:p>
    <w:p>
      <w:pPr>
        <w:spacing w:after="60" w:before="80"/>
      </w:pPr>
    </w:p>
    <w:p>
      <w:pPr>
        <w:spacing w:after="60" w:before="60"/>
      </w:pPr>
      <w:r>
        <w:rPr>
          <w:rFonts w:ascii="Arial" w:cs="Arial" w:eastAsia="Arial" w:hAnsi="Arial"/>
          <w:color w:val="2C2C2C"/>
          <w:sz w:val="20"/>
          <w:szCs w:val="20"/>
        </w:rPr>
        <w:t xml:space="preserve">Pensá en una actividad que hayas observado o imaginado para sala de 4 o 5 años. Analizala desde Bruner Y desde Ausubel: ¿hay aprendizaje por descubrimiento? ¿Hay conexión con los saberes previos? ¿Qué rol cumple la docente? Traé el análisis escrito en media carilla para compartir al inicio de la Clase 8.</w:t>
      </w:r>
    </w:p>
    <w:p>
      <w:pPr>
        <w:spacing w:after="0" w:before="120"/>
      </w:pPr>
    </w:p>
    <w:p>
      <w:pPr>
        <w:pBdr>
          <w:bottom w:val="single" w:color="B85042" w:sz="4" w:space="1"/>
        </w:pBdr>
        <w:spacing w:after="120" w:before="120"/>
      </w:pPr>
      <w:r>
        <w:t xml:space="preserve"/>
      </w:r>
    </w:p>
    <w:p>
      <w:pPr>
        <w:spacing w:after="80" w:before="100"/>
      </w:pPr>
      <w:r>
        <w:rPr>
          <w:rFonts w:ascii="Arial" w:cs="Arial" w:eastAsia="Arial" w:hAnsi="Arial"/>
          <w:b/>
          <w:bCs/>
          <w:color w:val="666666"/>
          <w:sz w:val="18"/>
          <w:szCs w:val="18"/>
        </w:rPr>
        <w:t xml:space="preserve">CONCEPTOS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none" w:color="FFFFFF" w:sz="0"/>
              <w:left w:val="none" w:color="FFFFFF" w:sz="0"/>
              <w:bottom w:val="none" w:color="FFFFFF" w:sz="0"/>
              <w:right w:val="none" w:color="FFFFFF" w:sz="0"/>
            </w:tcBorders>
            <w:shd w:fill="B85042"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Aprendizaje por descubrimiento</w:t>
            </w:r>
          </w:p>
        </w:tc>
        <w:tc>
          <w:tcPr>
            <w:tcW w:type="dxa" w:w="1337"/>
            <w:tcBorders>
              <w:top w:val="none" w:color="FFFFFF" w:sz="0"/>
              <w:left w:val="none" w:color="FFFFFF" w:sz="0"/>
              <w:bottom w:val="none" w:color="FFFFFF" w:sz="0"/>
              <w:right w:val="none" w:color="FFFFFF" w:sz="0"/>
            </w:tcBorders>
            <w:shd w:fill="E7E8D1" w:val="clear"/>
            <w:tcMar>
              <w:top w:type="dxa" w:w="80"/>
              <w:left w:type="dxa" w:w="60"/>
              <w:bottom w:type="dxa" w:w="80"/>
              <w:right w:type="dxa" w:w="60"/>
            </w:tcMar>
            <w:vAlign w:val="center"/>
          </w:tcPr>
          <w:p>
            <w:pPr>
              <w:jc w:val="center"/>
            </w:pPr>
            <w:r>
              <w:rPr>
                <w:rFonts w:ascii="Arial" w:cs="Arial" w:eastAsia="Arial" w:hAnsi="Arial"/>
                <w:color w:val="2C2C2C"/>
                <w:sz w:val="18"/>
                <w:szCs w:val="18"/>
              </w:rPr>
              <w:t xml:space="preserve"> </w:t>
            </w:r>
          </w:p>
        </w:tc>
        <w:tc>
          <w:tcPr>
            <w:tcW w:type="dxa" w:w="1337"/>
            <w:tcBorders>
              <w:top w:val="none" w:color="FFFFFF" w:sz="0"/>
              <w:left w:val="none" w:color="FFFFFF" w:sz="0"/>
              <w:bottom w:val="none" w:color="FFFFFF" w:sz="0"/>
              <w:right w:val="none" w:color="FFFFFF" w:sz="0"/>
            </w:tcBorders>
            <w:shd w:fill="B85042"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Aprendizaje significativo</w:t>
            </w:r>
          </w:p>
        </w:tc>
        <w:tc>
          <w:tcPr>
            <w:tcW w:type="dxa" w:w="1337"/>
            <w:tcBorders>
              <w:top w:val="none" w:color="FFFFFF" w:sz="0"/>
              <w:left w:val="none" w:color="FFFFFF" w:sz="0"/>
              <w:bottom w:val="none" w:color="FFFFFF" w:sz="0"/>
              <w:right w:val="none" w:color="FFFFFF" w:sz="0"/>
            </w:tcBorders>
            <w:shd w:fill="E7E8D1" w:val="clear"/>
            <w:tcMar>
              <w:top w:type="dxa" w:w="80"/>
              <w:left w:type="dxa" w:w="60"/>
              <w:bottom w:type="dxa" w:w="80"/>
              <w:right w:type="dxa" w:w="60"/>
            </w:tcMar>
            <w:vAlign w:val="center"/>
          </w:tcPr>
          <w:p>
            <w:pPr>
              <w:jc w:val="center"/>
            </w:pPr>
            <w:r>
              <w:rPr>
                <w:rFonts w:ascii="Arial" w:cs="Arial" w:eastAsia="Arial" w:hAnsi="Arial"/>
                <w:color w:val="2C2C2C"/>
                <w:sz w:val="18"/>
                <w:szCs w:val="18"/>
              </w:rPr>
              <w:t xml:space="preserve"> </w:t>
            </w:r>
          </w:p>
        </w:tc>
        <w:tc>
          <w:tcPr>
            <w:tcW w:type="dxa" w:w="1337"/>
            <w:tcBorders>
              <w:top w:val="none" w:color="FFFFFF" w:sz="0"/>
              <w:left w:val="none" w:color="FFFFFF" w:sz="0"/>
              <w:bottom w:val="none" w:color="FFFFFF" w:sz="0"/>
              <w:right w:val="none" w:color="FFFFFF" w:sz="0"/>
            </w:tcBorders>
            <w:shd w:fill="B85042"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Modos de representación</w:t>
            </w:r>
          </w:p>
        </w:tc>
        <w:tc>
          <w:tcPr>
            <w:tcW w:type="dxa" w:w="1337"/>
            <w:tcBorders>
              <w:top w:val="none" w:color="FFFFFF" w:sz="0"/>
              <w:left w:val="none" w:color="FFFFFF" w:sz="0"/>
              <w:bottom w:val="none" w:color="FFFFFF" w:sz="0"/>
              <w:right w:val="none" w:color="FFFFFF" w:sz="0"/>
            </w:tcBorders>
            <w:shd w:fill="E7E8D1" w:val="clear"/>
            <w:tcMar>
              <w:top w:type="dxa" w:w="80"/>
              <w:left w:type="dxa" w:w="60"/>
              <w:bottom w:type="dxa" w:w="80"/>
              <w:right w:type="dxa" w:w="60"/>
            </w:tcMar>
            <w:vAlign w:val="center"/>
          </w:tcPr>
          <w:p>
            <w:pPr>
              <w:jc w:val="center"/>
            </w:pPr>
            <w:r>
              <w:rPr>
                <w:rFonts w:ascii="Arial" w:cs="Arial" w:eastAsia="Arial" w:hAnsi="Arial"/>
                <w:color w:val="2C2C2C"/>
                <w:sz w:val="18"/>
                <w:szCs w:val="18"/>
              </w:rPr>
              <w:t xml:space="preserve"> </w:t>
            </w:r>
          </w:p>
        </w:tc>
        <w:tc>
          <w:tcPr>
            <w:tcW w:type="dxa" w:w="1337"/>
            <w:tcBorders>
              <w:top w:val="none" w:color="FFFFFF" w:sz="0"/>
              <w:left w:val="none" w:color="FFFFFF" w:sz="0"/>
              <w:bottom w:val="none" w:color="FFFFFF" w:sz="0"/>
              <w:right w:val="none" w:color="FFFFFF" w:sz="0"/>
            </w:tcBorders>
            <w:shd w:fill="B85042"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Subsumidores</w:t>
            </w:r>
          </w:p>
        </w:tc>
      </w:tr>
    </w:tbl>
    <w:p>
      <w:pPr>
        <w:spacing w:after="60" w:before="60"/>
      </w:pPr>
    </w:p>
    <w:p>
      <w:pPr>
        <w:pBdr>
          <w:top w:val="single" w:color="B85042" w:sz="2" w:space="1"/>
        </w:pBdr>
        <w:spacing w:before="80"/>
      </w:pPr>
      <w:r>
        <w:rPr>
          <w:rFonts w:ascii="Arial" w:cs="Arial" w:eastAsia="Arial" w:hAnsi="Arial"/>
          <w:i/>
          <w:iCs/>
          <w:color w:val="666666"/>
          <w:sz w:val="16"/>
          <w:szCs w:val="16"/>
        </w:rPr>
        <w:t xml:space="preserve">Psicología Educacional · Profesorado de Educación Inicial · Clase 7 de 24</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2026-05-01T13:18:47.132Z</dcterms:created>
  <dcterms:modified xsi:type="dcterms:W3CDTF">2026-05-01T13:18:47.132Z</dcterms:modified>
</cp:coreProperties>
</file>

<file path=docProps/custom.xml><?xml version="1.0" encoding="utf-8"?>
<Properties xmlns="http://schemas.openxmlformats.org/officeDocument/2006/custom-properties" xmlns:vt="http://schemas.openxmlformats.org/officeDocument/2006/docPropsVTypes"/>
</file>