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66666"/>
          <w:sz w:val="18"/>
          <w:szCs w:val="18"/>
        </w:rPr>
        <w:t xml:space="preserve">PROFESORADO DE EDUCACIÓN INICIAL · 2° AÑO · CABA SUR</w:t>
      </w:r>
    </w:p>
    <w:p>
      <w:pPr>
        <w:spacing w:after="60" w:before="0"/>
      </w:pPr>
      <w:r>
        <w:rPr>
          <w:rFonts w:ascii="Arial" w:cs="Arial" w:eastAsia="Arial" w:hAnsi="Arial"/>
          <w:b/>
          <w:bCs/>
          <w:color w:val="B85042"/>
          <w:sz w:val="32"/>
          <w:szCs w:val="32"/>
        </w:rPr>
        <w:t xml:space="preserve">Psicología Educacional</w:t>
      </w:r>
    </w:p>
    <w:p>
      <w:pPr>
        <w:spacing w:after="200" w:before="0"/>
      </w:pPr>
      <w:r>
        <w:rPr>
          <w:rFonts w:ascii="Arial" w:cs="Arial" w:eastAsia="Arial" w:hAnsi="Arial"/>
          <w:color w:val="2C2C2C"/>
          <w:sz w:val="22"/>
          <w:szCs w:val="22"/>
        </w:rPr>
        <w:t xml:space="preserve">Plan de clase · Clase 8</w:t>
      </w:r>
    </w:p>
    <w:p>
      <w:pPr>
        <w:pBdr>
          <w:bottom w:val="single" w:color="B85042" w:sz="4" w:space="1"/>
        </w:pBdr>
        <w:spacing w:after="160" w:before="160"/>
      </w:pPr>
      <w:r>
        <w:t xml:space="preserve"/>
      </w:r>
    </w:p>
    <w:p>
      <w:pPr>
        <w:spacing w:after="60" w:before="200"/>
      </w:pPr>
      <w:r>
        <w:rPr>
          <w:rFonts w:ascii="Arial" w:cs="Arial" w:eastAsia="Arial" w:hAnsi="Arial"/>
          <w:b/>
          <w:bCs/>
          <w:color w:val="B85042"/>
          <w:sz w:val="26"/>
          <w:szCs w:val="26"/>
        </w:rPr>
        <w:t xml:space="preserve">CLASE 8 · 80 min</w:t>
      </w:r>
    </w:p>
    <w:p>
      <w:pPr>
        <w:spacing w:after="60" w:before="0"/>
      </w:pPr>
      <w:r>
        <w:rPr>
          <w:rFonts w:ascii="Arial" w:cs="Arial" w:eastAsia="Arial" w:hAnsi="Arial"/>
          <w:b/>
          <w:bCs/>
          <w:color w:val="2C2C2C"/>
          <w:sz w:val="32"/>
          <w:szCs w:val="32"/>
        </w:rPr>
        <w:t xml:space="preserve">Inteligencias múltiples y cierre de la Unidad II</w:t>
      </w:r>
    </w:p>
    <w:p>
      <w:pPr>
        <w:spacing w:after="240" w:before="0"/>
      </w:pPr>
      <w:r>
        <w:rPr>
          <w:rFonts w:ascii="Arial" w:cs="Arial" w:eastAsia="Arial" w:hAnsi="Arial"/>
          <w:i/>
          <w:iCs/>
          <w:color w:val="666666"/>
          <w:sz w:val="22"/>
          <w:szCs w:val="22"/>
        </w:rPr>
        <w:t xml:space="preserve">¿Todos aprendemos igual? Gardner y la revisión del concepto de inteligencia</w:t>
      </w:r>
    </w:p>
    <w:p>
      <w:pPr>
        <w:spacing w:after="80" w:before="60"/>
      </w:pPr>
      <w:r>
        <w:rPr>
          <w:rFonts w:ascii="Arial" w:cs="Arial" w:eastAsia="Arial" w:hAnsi="Arial"/>
          <w:b/>
          <w:bCs/>
          <w:color w:val="FFFFFF"/>
          <w:sz w:val="18"/>
          <w:szCs w:val="18"/>
          <w:shd w:fill="B85042" w:val="clear"/>
        </w:rPr>
        <w:t xml:space="preserve">  OBJETIVOS DE LA CLASE  </w:t>
      </w:r>
    </w:p>
    <w:p>
      <w:pPr>
        <w:spacing w:after="0" w:before="80"/>
      </w:pPr>
    </w:p>
    <w:p>
      <w:pPr>
        <w:spacing w:after="40" w:before="40"/>
      </w:pPr>
      <w:r>
        <w:rPr>
          <w:rFonts w:ascii="Arial" w:cs="Arial" w:eastAsia="Arial" w:hAnsi="Arial"/>
          <w:color w:val="2C2C2C"/>
          <w:sz w:val="20"/>
          <w:szCs w:val="20"/>
        </w:rPr>
        <w:t xml:space="preserve">◆  Conocer la teoría de las inteligencias múltiples de Howard Gardner y su impacto pedagógico.</w:t>
      </w:r>
    </w:p>
    <w:p>
      <w:pPr>
        <w:spacing w:after="40" w:before="40"/>
      </w:pPr>
      <w:r>
        <w:rPr>
          <w:rFonts w:ascii="Arial" w:cs="Arial" w:eastAsia="Arial" w:hAnsi="Arial"/>
          <w:color w:val="2C2C2C"/>
          <w:sz w:val="20"/>
          <w:szCs w:val="20"/>
        </w:rPr>
        <w:t xml:space="preserve">◆  Vincular el concepto de diversidad de estilos de aprendizaje con las prácticas del nivel inicial.</w:t>
      </w:r>
    </w:p>
    <w:p>
      <w:pPr>
        <w:spacing w:after="40" w:before="40"/>
      </w:pPr>
      <w:r>
        <w:rPr>
          <w:rFonts w:ascii="Arial" w:cs="Arial" w:eastAsia="Arial" w:hAnsi="Arial"/>
          <w:color w:val="2C2C2C"/>
          <w:sz w:val="20"/>
          <w:szCs w:val="20"/>
        </w:rPr>
        <w:t xml:space="preserve">◆  Integrar los enfoques trabajados en la Unidad II en una mirada comprensiva y articulada.</w:t>
      </w:r>
    </w:p>
    <w:p>
      <w:pPr>
        <w:spacing w:after="40" w:before="40"/>
      </w:pPr>
      <w:r>
        <w:rPr>
          <w:rFonts w:ascii="Arial" w:cs="Arial" w:eastAsia="Arial" w:hAnsi="Arial"/>
          <w:color w:val="2C2C2C"/>
          <w:sz w:val="20"/>
          <w:szCs w:val="20"/>
        </w:rPr>
        <w:t xml:space="preserve">◆  Preparar a las estudiantes para el primer parcial a través de una revisión colectiva de los contenidos.</w:t>
      </w:r>
    </w:p>
    <w:p>
      <w:pPr>
        <w:spacing w:after="0" w:before="80"/>
      </w:pPr>
    </w:p>
    <w:p>
      <w:pPr>
        <w:pBdr>
          <w:bottom w:val="single" w:color="B85042" w:sz="4" w:space="1"/>
        </w:pBdr>
        <w:spacing w:after="160" w:before="160"/>
      </w:pPr>
      <w:r>
        <w:t xml:space="preserve"/>
      </w:r>
    </w:p>
    <w:p>
      <w:pPr>
        <w:spacing w:after="80" w:before="60"/>
      </w:pPr>
      <w:r>
        <w:rPr>
          <w:rFonts w:ascii="Arial" w:cs="Arial" w:eastAsia="Arial" w:hAnsi="Arial"/>
          <w:b/>
          <w:bCs/>
          <w:color w:val="FFFFFF"/>
          <w:sz w:val="18"/>
          <w:szCs w:val="18"/>
          <w:shd w:fill="B85042" w:val="clear"/>
        </w:rPr>
        <w:t xml:space="preserve">  DESARROLLO DE LA CLASE  </w:t>
      </w:r>
    </w:p>
    <w:p>
      <w:pPr>
        <w:spacing w:after="0" w:before="100"/>
      </w:pPr>
    </w:p>
    <w:p>
      <w:pPr>
        <w:spacing w:after="80" w:before="180"/>
      </w:pPr>
      <w:r>
        <w:rPr>
          <w:rFonts w:ascii="Arial" w:cs="Arial" w:eastAsia="Arial" w:hAnsi="Arial"/>
          <w:b/>
          <w:bCs/>
          <w:color w:val="B85042"/>
          <w:sz w:val="22"/>
          <w:szCs w:val="22"/>
        </w:rPr>
        <w:t xml:space="preserve">1   Activación: ¿cómo aprendiste vos?    10 min</w:t>
      </w:r>
    </w:p>
    <w:p>
      <w:pPr>
        <w:spacing w:after="60" w:before="60"/>
      </w:pPr>
      <w:r>
        <w:rPr>
          <w:rFonts w:ascii="Arial" w:cs="Arial" w:eastAsia="Arial" w:hAnsi="Arial"/>
          <w:color w:val="2C2C2C"/>
          <w:sz w:val="20"/>
          <w:szCs w:val="20"/>
        </w:rPr>
        <w:t xml:space="preserve">Dinámica de apertura: la docente propone que cada estudiante piense en algo que aprendió bien —una habilidad, un conocimiento, lo que sea— y que recuerde cómo lo aprendió. Puesta en común rápida: ¿Fue leyendo? ¿Escuchando? ¿Practicando? ¿Con alguien? ¿Solo? ¿En movimiento? La docente anota en el pizarrón las diversas modalidades que van surgiendo. Pregunta vertebradora: '¿Significa que algunos aprendemos mejor que otros, o que aprendemos diferente?'</w:t>
      </w:r>
    </w:p>
    <w:p>
      <w:pPr>
        <w:spacing w:after="0" w:before="80"/>
      </w:pPr>
    </w:p>
    <w:p>
      <w:pPr>
        <w:spacing w:after="80" w:before="180"/>
      </w:pPr>
      <w:r>
        <w:rPr>
          <w:rFonts w:ascii="Arial" w:cs="Arial" w:eastAsia="Arial" w:hAnsi="Arial"/>
          <w:b/>
          <w:bCs/>
          <w:color w:val="B85042"/>
          <w:sz w:val="22"/>
          <w:szCs w:val="22"/>
        </w:rPr>
        <w:t xml:space="preserve">2   Howard Gardner y las inteligencias múltiples    25 min</w:t>
      </w:r>
    </w:p>
    <w:p>
      <w:pPr>
        <w:spacing w:after="60" w:before="60"/>
      </w:pPr>
      <w:r>
        <w:rPr>
          <w:rFonts w:ascii="Arial" w:cs="Arial" w:eastAsia="Arial" w:hAnsi="Arial"/>
          <w:color w:val="2C2C2C"/>
          <w:sz w:val="20"/>
          <w:szCs w:val="20"/>
        </w:rPr>
        <w:t xml:space="preserve">Exposición dialogada. La docente presenta a Gardner como una voz crítica frente a la concepción unitaria de la inteligencia (el CI). Ejes de desarrollo:</w:t>
      </w:r>
    </w:p>
    <w:p>
      <w:pPr>
        <w:pStyle w:val="ListParagraph"/>
        <w:numPr>
          <w:ilvl w:val="0"/>
          <w:numId w:val="2"/>
        </w:numPr>
        <w:spacing w:after="40" w:before="40"/>
      </w:pPr>
      <w:r>
        <w:rPr>
          <w:rFonts w:ascii="Arial" w:cs="Arial" w:eastAsia="Arial" w:hAnsi="Arial"/>
          <w:color w:val="2C2C2C"/>
          <w:sz w:val="20"/>
          <w:szCs w:val="20"/>
        </w:rPr>
        <w:t xml:space="preserve">La crítica al concepto clásico de inteligencia: medir una sola capacidad no captura la diversidad cognitiva humana.</w:t>
      </w:r>
    </w:p>
    <w:p>
      <w:pPr>
        <w:pStyle w:val="ListParagraph"/>
        <w:numPr>
          <w:ilvl w:val="0"/>
          <w:numId w:val="2"/>
        </w:numPr>
        <w:spacing w:after="40" w:before="40"/>
      </w:pPr>
      <w:r>
        <w:rPr>
          <w:rFonts w:ascii="Arial" w:cs="Arial" w:eastAsia="Arial" w:hAnsi="Arial"/>
          <w:color w:val="2C2C2C"/>
          <w:sz w:val="20"/>
          <w:szCs w:val="20"/>
        </w:rPr>
        <w:t xml:space="preserve">La propuesta de las inteligencias múltiples: no existe una sola inteligencia sino al menos ocho capacidades relativamente autónomas.</w:t>
      </w:r>
    </w:p>
    <w:p>
      <w:pPr>
        <w:pStyle w:val="ListParagraph"/>
        <w:numPr>
          <w:ilvl w:val="0"/>
          <w:numId w:val="2"/>
        </w:numPr>
        <w:spacing w:after="40" w:before="40"/>
      </w:pPr>
      <w:r>
        <w:rPr>
          <w:rFonts w:ascii="Arial" w:cs="Arial" w:eastAsia="Arial" w:hAnsi="Arial"/>
          <w:color w:val="2C2C2C"/>
          <w:sz w:val="20"/>
          <w:szCs w:val="20"/>
        </w:rPr>
        <w:t xml:space="preserve">Las ocho inteligencias y su expresión en el nivel inicial: lingüística, lógico-matemática, espacial, musical, corporal-kinestésica, naturalista, interpersonal, intrapersonal.</w:t>
      </w:r>
    </w:p>
    <w:p>
      <w:pPr>
        <w:pStyle w:val="ListParagraph"/>
        <w:numPr>
          <w:ilvl w:val="0"/>
          <w:numId w:val="2"/>
        </w:numPr>
        <w:spacing w:after="40" w:before="40"/>
      </w:pPr>
      <w:r>
        <w:rPr>
          <w:rFonts w:ascii="Arial" w:cs="Arial" w:eastAsia="Arial" w:hAnsi="Arial"/>
          <w:color w:val="2C2C2C"/>
          <w:sz w:val="20"/>
          <w:szCs w:val="20"/>
        </w:rPr>
        <w:t xml:space="preserve">Implicancias pedagógicas: si los niños tienen perfiles de inteligencia diferentes, las propuestas de sala deben ser diversas. No hay una sola manera correcta de aprender.</w:t>
      </w:r>
    </w:p>
    <w:p>
      <w:pPr>
        <w:pStyle w:val="ListParagraph"/>
        <w:numPr>
          <w:ilvl w:val="0"/>
          <w:numId w:val="2"/>
        </w:numPr>
        <w:spacing w:after="40" w:before="40"/>
      </w:pPr>
      <w:r>
        <w:rPr>
          <w:rFonts w:ascii="Arial" w:cs="Arial" w:eastAsia="Arial" w:hAnsi="Arial"/>
          <w:color w:val="2C2C2C"/>
          <w:sz w:val="20"/>
          <w:szCs w:val="20"/>
        </w:rPr>
        <w:t xml:space="preserve">Conexión con Bruner: los modos de representación (enactivo, icónico, simbólico) se articulan con las inteligencias dominantes de cada niño.</w:t>
      </w:r>
    </w:p>
    <w:p>
      <w:pPr>
        <w:spacing w:after="60" w:before="60"/>
      </w:pPr>
      <w:r>
        <w:rPr>
          <w:rFonts w:ascii="Arial" w:cs="Arial" w:eastAsia="Arial" w:hAnsi="Arial"/>
          <w:color w:val="2C2C2C"/>
          <w:sz w:val="20"/>
          <w:szCs w:val="20"/>
        </w:rPr>
        <w:t xml:space="preserve">La docente cierra con una reflexión: Gardner no propone etiquetar a los niños ('este es inteligencia musical') sino diversificar las propuestas para que todos puedan acceder al conocimiento desde sus fortalezas.</w:t>
      </w:r>
    </w:p>
    <w:p>
      <w:pPr>
        <w:spacing w:after="0" w:before="80"/>
      </w:pPr>
    </w:p>
    <w:p>
      <w:pPr>
        <w:spacing w:after="80" w:before="180"/>
      </w:pPr>
      <w:r>
        <w:rPr>
          <w:rFonts w:ascii="Arial" w:cs="Arial" w:eastAsia="Arial" w:hAnsi="Arial"/>
          <w:b/>
          <w:bCs/>
          <w:color w:val="B85042"/>
          <w:sz w:val="22"/>
          <w:szCs w:val="22"/>
        </w:rPr>
        <w:t xml:space="preserve">3   Integración de la Unidad II: repaso en grupos    25 min</w:t>
      </w:r>
    </w:p>
    <w:p>
      <w:pPr>
        <w:spacing w:after="60" w:before="60"/>
      </w:pPr>
      <w:r>
        <w:rPr>
          <w:rFonts w:ascii="Arial" w:cs="Arial" w:eastAsia="Arial" w:hAnsi="Arial"/>
          <w:color w:val="2C2C2C"/>
          <w:sz w:val="20"/>
          <w:szCs w:val="20"/>
        </w:rPr>
        <w:t xml:space="preserve">Se forman grupos de 4. Cada grupo recibe una 'tarjeta de teoría' con los conceptos clave de uno de los enfoques trabajados: conductismo, cognitivismo/Ausubel, Piaget, Vygotski, Bruner, Gardner/neurociencias. La tarea del grupo es doble:</w:t>
      </w:r>
    </w:p>
    <w:p>
      <w:pPr>
        <w:pStyle w:val="ListParagraph"/>
        <w:numPr>
          <w:ilvl w:val="0"/>
          <w:numId w:val="2"/>
        </w:numPr>
        <w:spacing w:after="40" w:before="40"/>
      </w:pPr>
      <w:r>
        <w:rPr>
          <w:rFonts w:ascii="Arial" w:cs="Arial" w:eastAsia="Arial" w:hAnsi="Arial"/>
          <w:color w:val="2C2C2C"/>
          <w:sz w:val="20"/>
          <w:szCs w:val="20"/>
        </w:rPr>
        <w:t xml:space="preserve">Completar la tarjeta con los conceptos clave, el rol del docente y un ejemplo para sala de jardín.</w:t>
      </w:r>
    </w:p>
    <w:p>
      <w:pPr>
        <w:pStyle w:val="ListParagraph"/>
        <w:numPr>
          <w:ilvl w:val="0"/>
          <w:numId w:val="2"/>
        </w:numPr>
        <w:spacing w:after="40" w:before="40"/>
      </w:pPr>
      <w:r>
        <w:rPr>
          <w:rFonts w:ascii="Arial" w:cs="Arial" w:eastAsia="Arial" w:hAnsi="Arial"/>
          <w:color w:val="2C2C2C"/>
          <w:sz w:val="20"/>
          <w:szCs w:val="20"/>
        </w:rPr>
        <w:t xml:space="preserve">Identificar dos puntos de contacto de su teoría con las demás vistas en la unidad.</w:t>
      </w:r>
    </w:p>
    <w:p>
      <w:pPr>
        <w:spacing w:after="60" w:before="60"/>
      </w:pPr>
      <w:r>
        <w:rPr>
          <w:rFonts w:ascii="Arial" w:cs="Arial" w:eastAsia="Arial" w:hAnsi="Arial"/>
          <w:color w:val="2C2C2C"/>
          <w:sz w:val="20"/>
          <w:szCs w:val="20"/>
        </w:rPr>
        <w:t xml:space="preserve">Puesta en común de 10 minutos: cada grupo presenta su teoría en dos minutos. La docente sistematiza en el pizarrón una tabla integradora que quedará visible como síntesis de la Unidad II. Las estudiantes la copian o fotografían: es el material organizador para el parcial.</w:t>
      </w:r>
    </w:p>
    <w:p>
      <w:pPr>
        <w:spacing w:after="0" w:before="80"/>
      </w:pPr>
    </w:p>
    <w:p>
      <w:pPr>
        <w:spacing w:after="80" w:before="180"/>
      </w:pPr>
      <w:r>
        <w:rPr>
          <w:rFonts w:ascii="Arial" w:cs="Arial" w:eastAsia="Arial" w:hAnsi="Arial"/>
          <w:b/>
          <w:bCs/>
          <w:color w:val="B85042"/>
          <w:sz w:val="22"/>
          <w:szCs w:val="22"/>
        </w:rPr>
        <w:t xml:space="preserve">4   Orientaciones para el parcial y cierre    20 min</w:t>
      </w:r>
    </w:p>
    <w:p>
      <w:pPr>
        <w:spacing w:after="60" w:before="60"/>
      </w:pPr>
      <w:r>
        <w:rPr>
          <w:rFonts w:ascii="Arial" w:cs="Arial" w:eastAsia="Arial" w:hAnsi="Arial"/>
          <w:color w:val="2C2C2C"/>
          <w:sz w:val="20"/>
          <w:szCs w:val="20"/>
        </w:rPr>
        <w:t xml:space="preserve">La docente dedica 10 minutos a presentar el formato y los criterios del primer parcial escrito, responder dudas y clarificar expectativas. Énfasis en que el parcial evalúa comprensión e integración, no memorización de datos.</w:t>
      </w:r>
    </w:p>
    <w:p>
      <w:pPr>
        <w:spacing w:after="60" w:before="60"/>
      </w:pPr>
      <w:r>
        <w:rPr>
          <w:rFonts w:ascii="Arial" w:cs="Arial" w:eastAsia="Arial" w:hAnsi="Arial"/>
          <w:color w:val="2C2C2C"/>
          <w:sz w:val="20"/>
          <w:szCs w:val="20"/>
        </w:rPr>
        <w:t xml:space="preserve">Cierre de 10 minutos: ronda breve de reflexión. Cada estudiante dice una idea de la Unidad II que cambió su manera de ver a los niños o su manera de pensar la enseñanza. La docente conecta cada respuesta con la pregunta que inauguró la materia en la Clase 1: '¿Qué tiene que ver la psicología con ser docente de sala?'</w:t>
      </w:r>
    </w:p>
    <w:p>
      <w:pPr>
        <w:spacing w:after="0" w:before="80"/>
      </w:pPr>
    </w:p>
    <w:p>
      <w:pPr>
        <w:pBdr>
          <w:bottom w:val="single" w:color="B85042" w:sz="4" w:space="1"/>
        </w:pBdr>
        <w:spacing w:after="160" w:before="160"/>
      </w:pPr>
      <w:r>
        <w:t xml:space="preserve"/>
      </w:r>
    </w:p>
    <w:p>
      <w:pPr>
        <w:spacing w:after="80" w:before="60"/>
      </w:pPr>
      <w:r>
        <w:rPr>
          <w:rFonts w:ascii="Arial" w:cs="Arial" w:eastAsia="Arial" w:hAnsi="Arial"/>
          <w:b/>
          <w:bCs/>
          <w:color w:val="FFFFFF"/>
          <w:sz w:val="18"/>
          <w:szCs w:val="18"/>
          <w:shd w:fill="B85042" w:val="clear"/>
        </w:rPr>
        <w:t xml:space="preserve">  MATERIALES Y TEXTOS  </w:t>
      </w:r>
    </w:p>
    <w:p>
      <w:pPr>
        <w:spacing w:after="0" w:before="80"/>
      </w:pPr>
    </w:p>
    <w:p>
      <w:pPr>
        <w:spacing w:after="40" w:before="40"/>
      </w:pPr>
      <w:r>
        <w:rPr>
          <w:rFonts w:ascii="Arial" w:cs="Arial" w:eastAsia="Arial" w:hAnsi="Arial"/>
          <w:b/>
          <w:bCs/>
          <w:color w:val="B85042"/>
          <w:sz w:val="20"/>
          <w:szCs w:val="20"/>
        </w:rPr>
        <w:t xml:space="preserve">■ Material de cátedra:  </w:t>
      </w:r>
      <w:r>
        <w:rPr>
          <w:rFonts w:ascii="Arial" w:cs="Arial" w:eastAsia="Arial" w:hAnsi="Arial"/>
          <w:color w:val="2C2C2C"/>
          <w:sz w:val="20"/>
          <w:szCs w:val="20"/>
        </w:rPr>
        <w:t xml:space="preserve">Ficha de lectura Clase 8 — Gardner e inteligencias múltiples.</w:t>
      </w:r>
    </w:p>
    <w:p>
      <w:pPr>
        <w:spacing w:after="40" w:before="40"/>
      </w:pPr>
      <w:r>
        <w:rPr>
          <w:rFonts w:ascii="Arial" w:cs="Arial" w:eastAsia="Arial" w:hAnsi="Arial"/>
          <w:b/>
          <w:bCs/>
          <w:color w:val="B85042"/>
          <w:sz w:val="20"/>
          <w:szCs w:val="20"/>
        </w:rPr>
        <w:t xml:space="preserve">■ Tarjetas de teoría:  </w:t>
      </w:r>
      <w:r>
        <w:rPr>
          <w:rFonts w:ascii="Arial" w:cs="Arial" w:eastAsia="Arial" w:hAnsi="Arial"/>
          <w:color w:val="2C2C2C"/>
          <w:sz w:val="20"/>
          <w:szCs w:val="20"/>
        </w:rPr>
        <w:t xml:space="preserve">una por grupo, con los seis enfoques de la Unidad II (elaboradas por la docente).</w:t>
      </w:r>
    </w:p>
    <w:p>
      <w:pPr>
        <w:spacing w:after="40" w:before="40"/>
      </w:pPr>
      <w:r>
        <w:rPr>
          <w:rFonts w:ascii="Arial" w:cs="Arial" w:eastAsia="Arial" w:hAnsi="Arial"/>
          <w:b/>
          <w:bCs/>
          <w:color w:val="B85042"/>
          <w:sz w:val="20"/>
          <w:szCs w:val="20"/>
        </w:rPr>
        <w:t xml:space="preserve">■ Pizarrón:  </w:t>
      </w:r>
      <w:r>
        <w:rPr>
          <w:rFonts w:ascii="Arial" w:cs="Arial" w:eastAsia="Arial" w:hAnsi="Arial"/>
          <w:color w:val="2C2C2C"/>
          <w:sz w:val="20"/>
          <w:szCs w:val="20"/>
        </w:rPr>
        <w:t xml:space="preserve">para la tabla integradora de cierre (las estudiantes la fotografían).</w:t>
      </w:r>
    </w:p>
    <w:p>
      <w:pPr>
        <w:spacing w:after="40" w:before="40"/>
      </w:pPr>
      <w:r>
        <w:rPr>
          <w:rFonts w:ascii="Arial" w:cs="Arial" w:eastAsia="Arial" w:hAnsi="Arial"/>
          <w:b/>
          <w:bCs/>
          <w:color w:val="B85042"/>
          <w:sz w:val="20"/>
          <w:szCs w:val="20"/>
        </w:rPr>
        <w:t xml:space="preserve">■ Referencia:  </w:t>
      </w:r>
      <w:r>
        <w:rPr>
          <w:rFonts w:ascii="Arial" w:cs="Arial" w:eastAsia="Arial" w:hAnsi="Arial"/>
          <w:color w:val="2C2C2C"/>
          <w:sz w:val="20"/>
          <w:szCs w:val="20"/>
        </w:rPr>
        <w:t xml:space="preserve">Gardner, H. (1993). Inteligencias múltiples. La teoría en la práctica. Barcelona: Paidós.</w:t>
      </w:r>
    </w:p>
    <w:p>
      <w:pPr>
        <w:spacing w:after="40" w:before="40"/>
      </w:pPr>
      <w:r>
        <w:rPr>
          <w:rFonts w:ascii="Arial" w:cs="Arial" w:eastAsia="Arial" w:hAnsi="Arial"/>
          <w:b/>
          <w:bCs/>
          <w:color w:val="B85042"/>
          <w:sz w:val="20"/>
          <w:szCs w:val="20"/>
        </w:rPr>
        <w:t xml:space="preserve">■ Referencia:  </w:t>
      </w:r>
      <w:r>
        <w:rPr>
          <w:rFonts w:ascii="Arial" w:cs="Arial" w:eastAsia="Arial" w:hAnsi="Arial"/>
          <w:color w:val="2C2C2C"/>
          <w:sz w:val="20"/>
          <w:szCs w:val="20"/>
        </w:rPr>
        <w:t xml:space="preserve">Armstrong, T. (2006). Inteligencias múltiples en el aula. Barcelona: Paidós.</w:t>
      </w:r>
    </w:p>
    <w:p>
      <w:pPr>
        <w:spacing w:after="40" w:before="40"/>
      </w:pPr>
      <w:r>
        <w:rPr>
          <w:rFonts w:ascii="Arial" w:cs="Arial" w:eastAsia="Arial" w:hAnsi="Arial"/>
          <w:b/>
          <w:bCs/>
          <w:color w:val="B85042"/>
          <w:sz w:val="20"/>
          <w:szCs w:val="20"/>
        </w:rPr>
        <w:t xml:space="preserve">■ Referencia:  </w:t>
      </w:r>
      <w:r>
        <w:rPr>
          <w:rFonts w:ascii="Arial" w:cs="Arial" w:eastAsia="Arial" w:hAnsi="Arial"/>
          <w:color w:val="2C2C2C"/>
          <w:sz w:val="20"/>
          <w:szCs w:val="20"/>
        </w:rPr>
        <w:t xml:space="preserve">Baquero, R. y Limón, M. (2001). Introducción a la psicología del aprendizaje escolar. UNQ. Cap. 1.</w:t>
      </w:r>
    </w:p>
    <w:p>
      <w:pPr>
        <w:spacing w:after="0" w:before="80"/>
      </w:pPr>
    </w:p>
    <w:p>
      <w:pPr>
        <w:pBdr>
          <w:bottom w:val="single" w:color="B85042" w:sz="4" w:space="1"/>
        </w:pBdr>
        <w:spacing w:after="160" w:before="160"/>
      </w:pPr>
      <w:r>
        <w:t xml:space="preserve"/>
      </w:r>
    </w:p>
    <w:p>
      <w:pPr>
        <w:spacing w:after="80" w:before="60"/>
      </w:pPr>
      <w:r>
        <w:rPr>
          <w:rFonts w:ascii="Arial" w:cs="Arial" w:eastAsia="Arial" w:hAnsi="Arial"/>
          <w:b/>
          <w:bCs/>
          <w:color w:val="FFFFFF"/>
          <w:sz w:val="18"/>
          <w:szCs w:val="18"/>
          <w:shd w:fill="B85042" w:val="clear"/>
        </w:rPr>
        <w:t xml:space="preserve">  PARA EL PARCIAL  </w:t>
      </w:r>
    </w:p>
    <w:p>
      <w:pPr>
        <w:spacing w:after="0" w:before="80"/>
      </w:pPr>
    </w:p>
    <w:p>
      <w:pPr>
        <w:spacing w:after="60" w:before="60"/>
      </w:pPr>
      <w:r>
        <w:rPr>
          <w:rFonts w:ascii="Arial" w:cs="Arial" w:eastAsia="Arial" w:hAnsi="Arial"/>
          <w:color w:val="2C2C2C"/>
          <w:sz w:val="20"/>
          <w:szCs w:val="20"/>
        </w:rPr>
        <w:t xml:space="preserve">Repasar los materiales de lectura de las Clases 1 a 8. El parcial es escrito, individual, con consulta de carpeta. Incluirá: (a) preguntas de comprensión conceptual sobre las teorías, (b) análisis de una situación de sala desde al menos dos enfoques teóricos, (c) reflexión sobre implicancias para la práctica docente en el nivel inicial.</w:t>
      </w:r>
    </w:p>
    <w:p>
      <w:pPr>
        <w:spacing w:after="60" w:before="60"/>
      </w:pPr>
      <w:r>
        <w:rPr>
          <w:rFonts w:ascii="Arial" w:cs="Arial" w:eastAsia="Arial" w:hAnsi="Arial"/>
          <w:i/>
          <w:iCs/>
          <w:color w:val="2C2C2C"/>
          <w:sz w:val="20"/>
          <w:szCs w:val="20"/>
        </w:rPr>
        <w:t xml:space="preserve">El criterio central de evaluación es la capacidad de articular teoría y práctica con coherencia. No se evalúa la reproducción textual de definiciones.</w:t>
      </w:r>
    </w:p>
    <w:p>
      <w:pPr>
        <w:spacing w:after="0" w:before="100"/>
      </w:pPr>
    </w:p>
    <w:p>
      <w:pPr>
        <w:pBdr>
          <w:bottom w:val="single" w:color="B85042" w:sz="4" w:space="1"/>
        </w:pBdr>
        <w:spacing w:after="160" w:before="160"/>
      </w:pPr>
      <w:r>
        <w:t xml:space="preserve"/>
      </w:r>
    </w:p>
    <w:p>
      <w:pPr>
        <w:spacing w:after="80" w:before="100"/>
      </w:pPr>
      <w:r>
        <w:rPr>
          <w:rFonts w:ascii="Arial" w:cs="Arial" w:eastAsia="Arial" w:hAnsi="Arial"/>
          <w:b/>
          <w:bCs/>
          <w:color w:val="666666"/>
          <w:sz w:val="18"/>
          <w:szCs w:val="18"/>
        </w:rPr>
        <w:t xml:space="preserve">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B8504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Inteligencias múltiples</w:t>
            </w:r>
          </w:p>
        </w:tc>
        <w:tc>
          <w:tcPr>
            <w:tcW w:type="dxa" w:w="1337"/>
            <w:tcBorders>
              <w:top w:val="none" w:color="FFFFFF" w:sz="0"/>
              <w:left w:val="none" w:color="FFFFFF" w:sz="0"/>
              <w:bottom w:val="none" w:color="FFFFFF" w:sz="0"/>
              <w:right w:val="none" w:color="FFFFFF" w:sz="0"/>
            </w:tcBorders>
            <w:shd w:fill="E7E8D1" w:val="clear"/>
            <w:tcMar>
              <w:top w:type="dxa" w:w="80"/>
              <w:left w:type="dxa" w:w="30"/>
              <w:bottom w:type="dxa" w:w="80"/>
              <w:right w:type="dxa" w:w="30"/>
            </w:tcMar>
          </w:tcPr>
          <w:p>
            <w:r>
              <w:t xml:space="preserve"> </w:t>
            </w:r>
          </w:p>
        </w:tc>
        <w:tc>
          <w:tcPr>
            <w:tcW w:type="dxa" w:w="1337"/>
            <w:tcBorders>
              <w:top w:val="none" w:color="FFFFFF" w:sz="0"/>
              <w:left w:val="none" w:color="FFFFFF" w:sz="0"/>
              <w:bottom w:val="none" w:color="FFFFFF" w:sz="0"/>
              <w:right w:val="none" w:color="FFFFFF" w:sz="0"/>
            </w:tcBorders>
            <w:shd w:fill="C8793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Diversidad cognitiva</w:t>
            </w:r>
          </w:p>
        </w:tc>
        <w:tc>
          <w:tcPr>
            <w:tcW w:type="dxa" w:w="1337"/>
            <w:tcBorders>
              <w:top w:val="none" w:color="FFFFFF" w:sz="0"/>
              <w:left w:val="none" w:color="FFFFFF" w:sz="0"/>
              <w:bottom w:val="none" w:color="FFFFFF" w:sz="0"/>
              <w:right w:val="none" w:color="FFFFFF" w:sz="0"/>
            </w:tcBorders>
            <w:shd w:fill="E7E8D1" w:val="clear"/>
            <w:tcMar>
              <w:top w:type="dxa" w:w="80"/>
              <w:left w:type="dxa" w:w="30"/>
              <w:bottom w:type="dxa" w:w="80"/>
              <w:right w:type="dxa" w:w="30"/>
            </w:tcMar>
          </w:tcPr>
          <w:p>
            <w:r>
              <w:t xml:space="preserve"> </w:t>
            </w:r>
          </w:p>
        </w:tc>
        <w:tc>
          <w:tcPr>
            <w:tcW w:type="dxa" w:w="1337"/>
            <w:tcBorders>
              <w:top w:val="none" w:color="FFFFFF" w:sz="0"/>
              <w:left w:val="none" w:color="FFFFFF" w:sz="0"/>
              <w:bottom w:val="none" w:color="FFFFFF" w:sz="0"/>
              <w:right w:val="none" w:color="FFFFFF" w:sz="0"/>
            </w:tcBorders>
            <w:shd w:fill="B8504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Perfiles de aprendizaje</w:t>
            </w:r>
          </w:p>
        </w:tc>
        <w:tc>
          <w:tcPr>
            <w:tcW w:type="dxa" w:w="1337"/>
            <w:tcBorders>
              <w:top w:val="none" w:color="FFFFFF" w:sz="0"/>
              <w:left w:val="none" w:color="FFFFFF" w:sz="0"/>
              <w:bottom w:val="none" w:color="FFFFFF" w:sz="0"/>
              <w:right w:val="none" w:color="FFFFFF" w:sz="0"/>
            </w:tcBorders>
            <w:shd w:fill="E7E8D1" w:val="clear"/>
            <w:tcMar>
              <w:top w:type="dxa" w:w="80"/>
              <w:left w:type="dxa" w:w="30"/>
              <w:bottom w:type="dxa" w:w="80"/>
              <w:right w:type="dxa" w:w="30"/>
            </w:tcMar>
          </w:tcPr>
          <w:p>
            <w:r>
              <w:t xml:space="preserve"> </w:t>
            </w:r>
          </w:p>
        </w:tc>
        <w:tc>
          <w:tcPr>
            <w:tcW w:type="dxa" w:w="1337"/>
            <w:tcBorders>
              <w:top w:val="none" w:color="FFFFFF" w:sz="0"/>
              <w:left w:val="none" w:color="FFFFFF" w:sz="0"/>
              <w:bottom w:val="none" w:color="FFFFFF" w:sz="0"/>
              <w:right w:val="none" w:color="FFFFFF" w:sz="0"/>
            </w:tcBorders>
            <w:shd w:fill="C8793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Integración teórica</w:t>
            </w:r>
          </w:p>
        </w:tc>
      </w:tr>
    </w:tbl>
    <w:p>
      <w:pPr>
        <w:spacing w:after="0" w:before="60"/>
      </w:pPr>
    </w:p>
    <w:p>
      <w:pPr>
        <w:pBdr>
          <w:top w:val="single" w:color="B85042" w:sz="2" w:space="1"/>
        </w:pBdr>
        <w:spacing w:before="80"/>
      </w:pPr>
      <w:r>
        <w:rPr>
          <w:rFonts w:ascii="Arial" w:cs="Arial" w:eastAsia="Arial" w:hAnsi="Arial"/>
          <w:i/>
          <w:iCs/>
          <w:color w:val="666666"/>
          <w:sz w:val="16"/>
          <w:szCs w:val="16"/>
        </w:rPr>
        <w:t xml:space="preserve">Psicología Educacional · Profesorado de Educación Inicial · Clase 8 de 24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2026-05-01T23:50:04.114Z</dcterms:created>
  <dcterms:modified xsi:type="dcterms:W3CDTF">2026-05-01T23:50:04.115Z</dcterms:modified>
</cp:coreProperties>
</file>

<file path=docProps/custom.xml><?xml version="1.0" encoding="utf-8"?>
<Properties xmlns="http://schemas.openxmlformats.org/officeDocument/2006/custom-properties" xmlns:vt="http://schemas.openxmlformats.org/officeDocument/2006/docPropsVTypes"/>
</file>