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rPr>
          <w:sz w:val="26"/>
          <w:szCs w:val="26"/>
        </w:rPr>
      </w:pPr>
      <w:r>
        <w:rPr>
          <w:b/>
          <w:bCs/>
          <w:i w:val="false"/>
          <w:iCs w:val="false"/>
          <w:color w:val="1F3864"/>
          <w:sz w:val="26"/>
          <w:szCs w:val="26"/>
        </w:rPr>
        <w:t>GUION DE BOLSILLO · CLASE 10</w:t>
      </w:r>
    </w:p>
    <w:p>
      <w:pPr>
        <w:pStyle w:val="Normal"/>
        <w:spacing w:before="0" w:after="20"/>
        <w:rPr>
          <w:sz w:val="26"/>
          <w:szCs w:val="26"/>
        </w:rPr>
      </w:pPr>
      <w:r>
        <w:rPr>
          <w:b/>
          <w:bCs/>
          <w:i w:val="false"/>
          <w:iCs w:val="false"/>
          <w:color w:val="222222"/>
          <w:sz w:val="26"/>
          <w:szCs w:val="26"/>
        </w:rPr>
        <w:t>Estilos y Modelos de Aprendizaje — Kolb · VAK · CHAEA</w:t>
      </w:r>
    </w:p>
    <w:p>
      <w:pPr>
        <w:pStyle w:val="Normal"/>
        <w:spacing w:before="0" w:after="60"/>
        <w:rPr>
          <w:sz w:val="26"/>
          <w:szCs w:val="26"/>
        </w:rPr>
      </w:pPr>
      <w:r>
        <w:rPr>
          <w:b w:val="false"/>
          <w:bCs w:val="false"/>
          <w:i/>
          <w:iCs/>
          <w:color w:val="555555"/>
          <w:sz w:val="26"/>
          <w:szCs w:val="26"/>
        </w:rPr>
        <w:t>Psicología Educacional · Prof. de Educación Inicial 2° A · 80 minutos · 21 estudiantes</w:t>
      </w:r>
    </w:p>
    <w:p>
      <w:pPr>
        <w:pStyle w:val="Normal"/>
        <w:shd w:val="clear" w:fill="1F3864"/>
        <w:spacing w:before="120" w:after="50"/>
        <w:rPr>
          <w:sz w:val="26"/>
          <w:szCs w:val="26"/>
        </w:rPr>
      </w:pPr>
      <w:r>
        <w:rPr>
          <w:b/>
          <w:bCs/>
          <w:i w:val="false"/>
          <w:iCs w:val="false"/>
          <w:color w:val="FFFFFF"/>
          <w:sz w:val="26"/>
          <w:szCs w:val="26"/>
        </w:rPr>
        <w:t>ANTES DE ENTRAR — CHECKLIST</w:t>
      </w:r>
    </w:p>
    <w:p>
      <w:pPr>
        <w:pStyle w:val="ListParagraph"/>
        <w:numPr>
          <w:ilvl w:val="0"/>
          <w:numId w:val="3"/>
        </w:numPr>
        <w:spacing w:before="0" w:after="20"/>
        <w:rPr>
          <w:sz w:val="26"/>
          <w:szCs w:val="26"/>
        </w:rPr>
      </w:pPr>
      <w:r>
        <w:rPr>
          <w:b w:val="false"/>
          <w:bCs w:val="false"/>
          <w:i w:val="false"/>
          <w:iCs w:val="false"/>
          <w:color w:val="222222"/>
          <w:sz w:val="26"/>
          <w:szCs w:val="26"/>
        </w:rPr>
        <w:t>HTML abierto en el navegador: probá Espacio (avanzar), F (pantalla completa), N (notas), G (grilla) y los temporizadores.</w:t>
      </w:r>
    </w:p>
    <w:p>
      <w:pPr>
        <w:pStyle w:val="ListParagraph"/>
        <w:numPr>
          <w:ilvl w:val="0"/>
          <w:numId w:val="1"/>
        </w:numPr>
        <w:spacing w:before="0" w:after="20"/>
        <w:rPr>
          <w:sz w:val="26"/>
          <w:szCs w:val="26"/>
        </w:rPr>
      </w:pPr>
      <w:r>
        <w:rPr>
          <w:b w:val="false"/>
          <w:bCs w:val="false"/>
          <w:i w:val="false"/>
          <w:iCs w:val="false"/>
          <w:color w:val="222222"/>
          <w:sz w:val="26"/>
          <w:szCs w:val="26"/>
        </w:rPr>
        <w:t>Material de lectura Clase 10: 1 juego cada 2 estudiantes (~11 copias) o digital en el celular.</w:t>
      </w:r>
    </w:p>
    <w:p>
      <w:pPr>
        <w:pStyle w:val="ListParagraph"/>
        <w:numPr>
          <w:ilvl w:val="0"/>
          <w:numId w:val="1"/>
        </w:numPr>
        <w:spacing w:before="0" w:after="20"/>
        <w:rPr>
          <w:sz w:val="26"/>
          <w:szCs w:val="26"/>
        </w:rPr>
      </w:pPr>
      <w:r>
        <w:rPr>
          <w:b w:val="false"/>
          <w:bCs w:val="false"/>
          <w:i w:val="false"/>
          <w:iCs w:val="false"/>
          <w:color w:val="222222"/>
          <w:sz w:val="26"/>
          <w:szCs w:val="26"/>
        </w:rPr>
        <w:t>Tarjetas VAK recortadas: 1 juego de 6 por mesa (7 juegos) + clave de respuestas para vos.</w:t>
      </w:r>
    </w:p>
    <w:p>
      <w:pPr>
        <w:pStyle w:val="ListParagraph"/>
        <w:numPr>
          <w:ilvl w:val="0"/>
          <w:numId w:val="1"/>
        </w:numPr>
        <w:spacing w:before="0" w:after="20"/>
        <w:rPr>
          <w:sz w:val="26"/>
          <w:szCs w:val="26"/>
        </w:rPr>
      </w:pPr>
      <w:r>
        <w:rPr>
          <w:b w:val="false"/>
          <w:bCs w:val="false"/>
          <w:i w:val="false"/>
          <w:iCs w:val="false"/>
          <w:color w:val="222222"/>
          <w:sz w:val="26"/>
          <w:szCs w:val="26"/>
        </w:rPr>
        <w:t>Mini-inventario CHAEA: 21 copias (individual y escrito) + tabla de interpretación para vos.</w:t>
      </w:r>
    </w:p>
    <w:p>
      <w:pPr>
        <w:pStyle w:val="ListParagraph"/>
        <w:numPr>
          <w:ilvl w:val="0"/>
          <w:numId w:val="1"/>
        </w:numPr>
        <w:spacing w:before="0" w:after="20"/>
        <w:rPr>
          <w:sz w:val="26"/>
          <w:szCs w:val="26"/>
        </w:rPr>
      </w:pPr>
      <w:r>
        <w:rPr>
          <w:b w:val="false"/>
          <w:bCs w:val="false"/>
          <w:i w:val="false"/>
          <w:iCs w:val="false"/>
          <w:color w:val="222222"/>
          <w:sz w:val="26"/>
          <w:szCs w:val="26"/>
        </w:rPr>
        <w:t>Hoja A3 o media carta por mesa (7 hojas) + marcadores para el ciclo de Kolb.</w:t>
      </w:r>
    </w:p>
    <w:p>
      <w:pPr>
        <w:pStyle w:val="ListParagraph"/>
        <w:numPr>
          <w:ilvl w:val="0"/>
          <w:numId w:val="1"/>
        </w:numPr>
        <w:spacing w:before="0" w:after="20"/>
        <w:rPr>
          <w:sz w:val="26"/>
          <w:szCs w:val="26"/>
        </w:rPr>
      </w:pPr>
      <w:r>
        <w:rPr>
          <w:b w:val="false"/>
          <w:bCs w:val="false"/>
          <w:i w:val="false"/>
          <w:iCs w:val="false"/>
          <w:color w:val="222222"/>
          <w:sz w:val="26"/>
          <w:szCs w:val="26"/>
        </w:rPr>
        <w:t>Guion del hinge a mano · Consignas de reflexión Clase 11: 21 copias.</w:t>
      </w:r>
    </w:p>
    <w:p>
      <w:pPr>
        <w:pStyle w:val="Normal"/>
        <w:shd w:val="clear" w:fill="1F3864"/>
        <w:spacing w:before="120" w:after="50"/>
        <w:rPr>
          <w:sz w:val="26"/>
          <w:szCs w:val="26"/>
        </w:rPr>
      </w:pPr>
      <w:r>
        <w:rPr>
          <w:b/>
          <w:bCs/>
          <w:i w:val="false"/>
          <w:iCs w:val="false"/>
          <w:color w:val="FFFFFF"/>
          <w:sz w:val="26"/>
          <w:szCs w:val="26"/>
        </w:rPr>
        <w:t>GUION MINUTO A MINUTO</w:t>
      </w:r>
    </w:p>
    <w:tbl>
      <w:tblPr>
        <w:tblW w:w="14790" w:type="dxa"/>
        <w:jc w:val="start"/>
        <w:tblInd w:w="0" w:type="dxa"/>
        <w:tblLayout w:type="fixed"/>
        <w:tblCellMar>
          <w:top w:w="20" w:type="dxa"/>
          <w:start w:w="70" w:type="dxa"/>
          <w:bottom w:w="20" w:type="dxa"/>
          <w:end w:w="70" w:type="dxa"/>
        </w:tblCellMar>
      </w:tblPr>
      <w:tblGrid>
        <w:gridCol w:w="899"/>
        <w:gridCol w:w="9766"/>
        <w:gridCol w:w="4125"/>
      </w:tblGrid>
      <w:tr>
        <w:trPr>
          <w:tblHeader w:val="true"/>
        </w:trPr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1F3864" w:val="clear"/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MIN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1F3864" w:val="clear"/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QUÉ HACÉS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1F3864" w:val="clear"/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PANTALLA / MATERIAL</w:t>
            </w:r>
          </w:p>
        </w:tc>
      </w:tr>
      <w:tr>
        <w:trPr/>
        <w:tc>
          <w:tcPr>
            <w:tcW w:w="14790" w:type="dxa"/>
            <w:gridSpan w:val="3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DCE6F2" w:val="clear"/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>FASE 1 · APERTURA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0–2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Do Now: 3 preguntas individuales y en silencio, en el cuaderno (temporiz. 2 min)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3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2–5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Share en parejas: comparan respuestas; circulás y escuchás ideas clave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4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5–8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Puesta en común (3–4 voces) → pregunta heredada C9: «¿por qué no todos aprendemos del mismo modo?»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4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8–10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Intención: «al final van a poder diseñar una actividad para un estilo específico»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5</w:t>
            </w:r>
          </w:p>
        </w:tc>
      </w:tr>
      <w:tr>
        <w:trPr/>
        <w:tc>
          <w:tcPr>
            <w:tcW w:w="14790" w:type="dxa"/>
            <w:gridSpan w:val="3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DCE6F2" w:val="clear"/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>FASE 2 · MARCO CONCEPTUAL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10–14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Definición formal + origen (Witkin, Kolb, Dunn) + conexión Gardner / Bruner / Vygotski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6 · Lectura §1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14–18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Distinciones innegociables: NO es capacidad · NO es fijo («tendencia, no sentencia»)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7</w:t>
            </w:r>
          </w:p>
        </w:tc>
      </w:tr>
      <w:tr>
        <w:trPr/>
        <w:tc>
          <w:tcPr>
            <w:tcW w:w="14790" w:type="dxa"/>
            <w:gridSpan w:val="3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DCE6F2" w:val="clear"/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>CHECKPOINT FORMATIVO · HINGE QUESTION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18–20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Leés la pregunta despacio → 3 seg de silencio → voto con dedos (1–4)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8 · guion hinge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20–22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Contás votos y decidís según la tabla de claves de abajo (tocar la opción mayoritaria revela feedback)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8</w:t>
            </w:r>
          </w:p>
        </w:tc>
      </w:tr>
      <w:tr>
        <w:trPr/>
        <w:tc>
          <w:tcPr>
            <w:tcW w:w="14790" w:type="dxa"/>
            <w:gridSpan w:val="3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DCE6F2" w:val="clear"/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>FASE 3 · ESTACIONES EN SECUENCIA — TODAS JUNTAS, 7 MIN POR ESTACIÓN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22–25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Presentás los «3 lentes» y la dinámica: misma estación para todas, cambiando el foco cada 7 min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9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25–32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ESTACIÓN KOLB: cada mesa dibuja el ciclo EC→OR→CA→EA en su hoja y marca dónde se ubica cada integrante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10 · Lectura §2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32–39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ESTACIÓN VAK: mesas clasifican las 6 tarjetas (V/A/K); revelás girándolas en pantalla; discuten desacuerdos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11 · tarjetas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39–46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ESTACIÓN CHAEA: inventario individual en silencio (4 min) + intercambio de perfiles en mesa (3 min)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12 · inventarios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46–52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Síntesis: cuadro comparativo proyectado + una mesa presenta su ciclo + perfiles a mano alzada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13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52–54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Integración: caso Valentina vista con los 3 lentes (botones interactivos)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14</w:t>
            </w:r>
          </w:p>
        </w:tc>
      </w:tr>
      <w:tr>
        <w:trPr/>
        <w:tc>
          <w:tcPr>
            <w:tcW w:w="14790" w:type="dxa"/>
            <w:gridSpan w:val="3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DCE6F2" w:val="clear"/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>FASE 4 · DEBATE CRÍTICO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54–60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Dilema de Pashler et al. (2008): formás bandos A «sirven» / B «no sirven»; preparan 2 argumentos cada uno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15 · Lectura §5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60–68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Ronda 1: exposición (1,5 min por banda) · Ronda 2: réplica (temporiz. 4 min por ronda)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15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68–72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Síntesis docente: herramienta de LECTURA pedagógica, no de clasificación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16</w:t>
            </w:r>
          </w:p>
        </w:tc>
      </w:tr>
      <w:tr>
        <w:trPr/>
        <w:tc>
          <w:tcPr>
            <w:tcW w:w="14790" w:type="dxa"/>
            <w:gridSpan w:val="3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DCE6F2" w:val="clear"/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>FASE 5 · CIERRE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72–77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Proyectás y entregás la consigna puente a Clase 11 (motivación), ½ carilla, se retoma en la próxima clase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Diap. 17 · consignas</w:t>
            </w:r>
          </w:p>
        </w:tc>
      </w:tr>
      <w:tr>
        <w:trPr/>
        <w:tc>
          <w:tcPr>
            <w:tcW w:w="8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77–80</w:t>
            </w:r>
          </w:p>
        </w:tc>
        <w:tc>
          <w:tcPr>
            <w:tcW w:w="9766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Gancho final: «el estilo abre preguntas; la motivación decide si el motor arranca»</w:t>
            </w:r>
          </w:p>
        </w:tc>
        <w:tc>
          <w:tcPr>
            <w:tcW w:w="4125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</w:rPr>
              <w:t>—</w:t>
            </w:r>
          </w:p>
        </w:tc>
      </w:tr>
    </w:tbl>
    <w:p>
      <w:pPr>
        <w:pStyle w:val="Normal"/>
        <w:shd w:val="clear" w:fill="1F3864"/>
        <w:spacing w:before="120" w:after="50"/>
        <w:rPr>
          <w:sz w:val="26"/>
          <w:szCs w:val="26"/>
        </w:rPr>
      </w:pPr>
      <w:r>
        <w:rPr>
          <w:b/>
          <w:bCs/>
          <w:i w:val="false"/>
          <w:iCs w:val="false"/>
          <w:color w:val="FFFFFF"/>
          <w:sz w:val="26"/>
          <w:szCs w:val="26"/>
        </w:rPr>
        <w:t>CLAVES RÁPIDAS</w:t>
      </w:r>
    </w:p>
    <w:tbl>
      <w:tblPr>
        <w:tblW w:w="10800" w:type="dxa"/>
        <w:jc w:val="start"/>
        <w:tblInd w:w="0" w:type="dxa"/>
        <w:tblLayout w:type="fixed"/>
        <w:tblCellMar>
          <w:top w:w="20" w:type="dxa"/>
          <w:start w:w="70" w:type="dxa"/>
          <w:bottom w:w="20" w:type="dxa"/>
          <w:end w:w="70" w:type="dxa"/>
        </w:tblCellMar>
      </w:tblPr>
      <w:tblGrid>
        <w:gridCol w:w="2199"/>
        <w:gridCol w:w="860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1F3864" w:val="clear"/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CLAVE</w:t>
            </w:r>
          </w:p>
        </w:tc>
        <w:tc>
          <w:tcPr>
            <w:tcW w:w="8601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1F3864" w:val="clear"/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QUÉ HACER</w:t>
            </w:r>
          </w:p>
        </w:tc>
      </w:tr>
      <w:tr>
        <w:trPr/>
        <w:tc>
          <w:tcPr>
            <w:tcW w:w="21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Hinge (min 18–22)</w:t>
            </w:r>
          </w:p>
        </w:tc>
        <w:tc>
          <w:tcPr>
            <w:tcW w:w="8601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Correcta: opción 2. ≥80% eligió 2 → avanzar · 50–79% → re-teach 2 min: «tendencia, no capacidad» + ejemplo del jardín · &lt;50% → volver a la definición (Diap. 6) con ejemplo cotidiano.</w:t>
            </w:r>
          </w:p>
        </w:tc>
      </w:tr>
      <w:tr>
        <w:trPr/>
        <w:tc>
          <w:tcPr>
            <w:tcW w:w="21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Clave tarjetas VAK</w:t>
            </w:r>
          </w:p>
        </w:tc>
        <w:tc>
          <w:tcPr>
            <w:tcW w:w="8601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1 Mateo = Visual · 2 Valentina = Kinestésica · 3 Santiago = Auditivo · 4 Camila = Visual · 5 Tomás = Kinestésico · 6 Lucía = Auditiva. Algunas admiten canal secundario: es parte de la discusión.</w:t>
            </w:r>
          </w:p>
        </w:tc>
      </w:tr>
      <w:tr>
        <w:trPr/>
        <w:tc>
          <w:tcPr>
            <w:tcW w:w="2199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/>
                <w:bCs/>
                <w:i w:val="false"/>
                <w:iCs w:val="false"/>
                <w:color w:val="222222"/>
                <w:sz w:val="26"/>
                <w:szCs w:val="26"/>
              </w:rPr>
              <w:t>Corrección CHAEA</w:t>
            </w:r>
          </w:p>
        </w:tc>
        <w:tc>
          <w:tcPr>
            <w:tcW w:w="8601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vAlign w:val="center"/>
          </w:tcPr>
          <w:p>
            <w:pPr>
              <w:pStyle w:val="Normal"/>
              <w:spacing w:before="0" w:after="0"/>
              <w:rPr>
                <w:sz w:val="26"/>
                <w:szCs w:val="26"/>
              </w:rPr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>Más cruces en columna izquierda → perfil Activo/Pragmático · más en derecha → Reflexivo/Teórico.</w:t>
            </w:r>
          </w:p>
        </w:tc>
      </w:tr>
    </w:tbl>
    <w:p>
      <w:pPr>
        <w:pStyle w:val="Normal"/>
        <w:spacing w:before="100" w:after="40"/>
        <w:rPr>
          <w:sz w:val="26"/>
          <w:szCs w:val="26"/>
        </w:rPr>
      </w:pPr>
      <w:r>
        <w:rPr>
          <w:b/>
          <w:bCs/>
          <w:i w:val="false"/>
          <w:iCs w:val="false"/>
          <w:color w:val="1F3864"/>
          <w:sz w:val="26"/>
          <w:szCs w:val="26"/>
        </w:rPr>
        <w:t xml:space="preserve">ATAJOS DEL PROYECTOR: </w:t>
      </w:r>
      <w:r>
        <w:rPr>
          <w:b w:val="false"/>
          <w:bCs w:val="false"/>
          <w:i w:val="false"/>
          <w:iCs w:val="false"/>
          <w:color w:val="555555"/>
          <w:sz w:val="26"/>
          <w:szCs w:val="26"/>
        </w:rPr>
        <w:t>Espacio/→ avanzan · ← retrocede · F pantalla completa · N notas · G grilla · B pantalla negra · Esc cierra</w:t>
      </w:r>
    </w:p>
    <w:p>
      <w:pPr>
        <w:pStyle w:val="Normal"/>
        <w:spacing w:before="0" w:after="0"/>
        <w:rPr>
          <w:sz w:val="26"/>
          <w:szCs w:val="26"/>
        </w:rPr>
      </w:pPr>
      <w:r>
        <w:rPr>
          <w:b w:val="false"/>
          <w:bCs w:val="false"/>
          <w:i/>
          <w:iCs/>
          <w:color w:val="888888"/>
          <w:sz w:val="26"/>
          <w:szCs w:val="26"/>
        </w:rPr>
        <w:t>Tiempos orientativos: si el debate engancha, recortá la Ronda 2. Basada en: Plan_Clase10_Rediseñado.pdf · Presentacion_Proyector.html · Tarjetas_Estaciones.docx · Hinge_Question_Clase10.docx</w:t>
      </w:r>
    </w:p>
    <w:sectPr>
      <w:type w:val="nextPage"/>
      <w:pgSz w:orient="landscape" w:w="16838" w:h="11906"/>
      <w:pgMar w:left="550" w:right="550" w:gutter="0" w:header="0" w:top="480" w:footer="0" w:bottom="4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▪"/>
      <w:lvlJc w:val="start"/>
      <w:pPr>
        <w:tabs>
          <w:tab w:val="num" w:pos="0"/>
        </w:tabs>
        <w:ind w:start="240" w:hanging="160"/>
      </w:pPr>
      <w:rPr>
        <w:rFonts w:ascii="OpenSymbol" w:hAnsi="OpenSymbol" w:cs="OpenSymbol" w:hint="default"/>
        <w:color w:val="1F3864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15"/>
        <w:szCs w:val="15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15"/>
      <w:szCs w:val="15"/>
      <w:lang w:val="es-A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15"/>
      <w:szCs w:val="15"/>
      <w:lang w:val="es-A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15"/>
      <w:szCs w:val="15"/>
      <w:lang w:val="es-A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2</Pages>
  <Words>694</Words>
  <Characters>3265</Characters>
  <CharactersWithSpaces>3846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2026-08-21T21:43:22Z</dcterms:created>
  <dc:creator>Un-named</dc:creator>
  <dc:description/>
  <dc:language>es-AR</dc:language>
  <cp:lastModifiedBy/>
  <cp:lastPrinted>2026-08-21T19:11:36Z</cp:lastPrinted>
  <dcterms:modified xsi:type="dcterms:W3CDTF">2026-08-21T19:14:42Z</dcterms:modified>
  <cp:revision>2</cp:revision>
  <dc:subject/>
  <dc:title/>
</cp:coreProperties>
</file>