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6B7280"/>
          <w:sz w:val="20"/>
          <w:szCs w:val="20"/>
        </w:rPr>
        <w:t xml:space="preserve">PROFESORADO DE EDUCACIÓN INICIAL · 2° AÑO</w:t>
      </w:r>
    </w:p>
    <w:p>
      <w:pPr>
        <w:spacing w:after="60"/>
        <w:jc w:val="center"/>
      </w:pPr>
      <w:r>
        <w:rPr>
          <w:rFonts w:ascii="Calibri" w:cs="Calibri" w:eastAsia="Calibri" w:hAnsi="Calibri"/>
          <w:b/>
          <w:bCs/>
          <w:color w:val="22334D"/>
          <w:sz w:val="30"/>
          <w:szCs w:val="30"/>
        </w:rPr>
        <w:t xml:space="preserve">Psicología Educacional</w:t>
      </w:r>
    </w:p>
    <w:p>
      <w:pPr>
        <w:spacing w:after="200"/>
        <w:jc w:val="center"/>
      </w:pPr>
      <w:r>
        <w:rPr>
          <w:rFonts w:ascii="Calibri" w:cs="Calibri" w:eastAsia="Calibri" w:hAnsi="Calibri"/>
          <w:color w:val="C4633E"/>
          <w:sz w:val="22"/>
          <w:szCs w:val="22"/>
        </w:rPr>
        <w:t xml:space="preserve">PLAN DE CLASE 11 — Segunda mitad del año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60"/>
        <w:gridCol w:w="6120"/>
      </w:tblGrid>
      <w:tr>
        <w:tc>
          <w:tcPr>
            <w:tcW w:type="dxa" w:w="3060"/>
            <w:shd w:fill="FDFAF3" w:val="clear"/>
            <w:tcMar>
              <w:top w:type="dxa" w:w="80"/>
              <w:left w:type="dxa" w:w="140"/>
              <w:bottom w:type="dxa" w:w="80"/>
              <w:right w:type="dxa" w:w="140"/>
            </w:tcMar>
          </w:tcPr>
          <w:p>
            <w:pPr>
              <w:spacing w:after="0"/>
            </w:pPr>
            <w:r>
              <w:rPr>
                <w:rFonts w:ascii="Calibri" w:cs="Calibri" w:eastAsia="Calibri" w:hAnsi="Calibri"/>
                <w:b/>
                <w:bCs/>
                <w:color w:val="2A3547"/>
                <w:sz w:val="20"/>
                <w:szCs w:val="20"/>
              </w:rPr>
              <w:t xml:space="preserve">Materia:</w:t>
            </w:r>
          </w:p>
        </w:tc>
        <w:tc>
          <w:tcPr>
            <w:tcW w:type="dxa" w:w="6120"/>
            <w:tcMar>
              <w:top w:type="dxa" w:w="80"/>
              <w:left w:type="dxa" w:w="140"/>
              <w:bottom w:type="dxa" w:w="80"/>
              <w:right w:type="dxa" w:w="140"/>
            </w:tcMar>
          </w:tcPr>
          <w:p>
            <w:pPr>
              <w:spacing w:after="0"/>
            </w:pPr>
            <w:r>
              <w:rPr>
                <w:rFonts w:ascii="Calibri" w:cs="Calibri" w:eastAsia="Calibri" w:hAnsi="Calibri"/>
                <w:b w:val="false"/>
                <w:bCs w:val="false"/>
                <w:color w:val="2A3547"/>
                <w:sz w:val="20"/>
                <w:szCs w:val="20"/>
              </w:rPr>
              <w:t xml:space="preserve">Psicología Educacional</w:t>
            </w:r>
          </w:p>
        </w:tc>
      </w:tr>
      <w:tr>
        <w:tc>
          <w:tcPr>
            <w:tcW w:type="dxa" w:w="3060"/>
            <w:shd w:fill="FDFAF3" w:val="clear"/>
            <w:tcMar>
              <w:top w:type="dxa" w:w="80"/>
              <w:left w:type="dxa" w:w="140"/>
              <w:bottom w:type="dxa" w:w="80"/>
              <w:right w:type="dxa" w:w="140"/>
            </w:tcMar>
          </w:tcPr>
          <w:p>
            <w:pPr>
              <w:spacing w:after="0"/>
            </w:pPr>
            <w:r>
              <w:rPr>
                <w:rFonts w:ascii="Calibri" w:cs="Calibri" w:eastAsia="Calibri" w:hAnsi="Calibri"/>
                <w:b/>
                <w:bCs/>
                <w:color w:val="2A3547"/>
                <w:sz w:val="20"/>
                <w:szCs w:val="20"/>
              </w:rPr>
              <w:t xml:space="preserve">Clase:</w:t>
            </w:r>
          </w:p>
        </w:tc>
        <w:tc>
          <w:tcPr>
            <w:tcW w:type="dxa" w:w="6120"/>
            <w:tcMar>
              <w:top w:type="dxa" w:w="80"/>
              <w:left w:type="dxa" w:w="140"/>
              <w:bottom w:type="dxa" w:w="80"/>
              <w:right w:type="dxa" w:w="140"/>
            </w:tcMar>
          </w:tcPr>
          <w:p>
            <w:pPr>
              <w:spacing w:after="0"/>
            </w:pPr>
            <w:r>
              <w:rPr>
                <w:rFonts w:ascii="Calibri" w:cs="Calibri" w:eastAsia="Calibri" w:hAnsi="Calibri"/>
                <w:b w:val="false"/>
                <w:bCs w:val="false"/>
                <w:color w:val="2A3547"/>
                <w:sz w:val="20"/>
                <w:szCs w:val="20"/>
              </w:rPr>
              <w:t xml:space="preserve">11 — Motivación y autoestima</w:t>
            </w:r>
          </w:p>
        </w:tc>
      </w:tr>
      <w:tr>
        <w:tc>
          <w:tcPr>
            <w:tcW w:type="dxa" w:w="3060"/>
            <w:shd w:fill="FDFAF3" w:val="clear"/>
            <w:tcMar>
              <w:top w:type="dxa" w:w="80"/>
              <w:left w:type="dxa" w:w="140"/>
              <w:bottom w:type="dxa" w:w="80"/>
              <w:right w:type="dxa" w:w="140"/>
            </w:tcMar>
          </w:tcPr>
          <w:p>
            <w:pPr>
              <w:spacing w:after="0"/>
            </w:pPr>
            <w:r>
              <w:rPr>
                <w:rFonts w:ascii="Calibri" w:cs="Calibri" w:eastAsia="Calibri" w:hAnsi="Calibri"/>
                <w:b/>
                <w:bCs/>
                <w:color w:val="2A3547"/>
                <w:sz w:val="20"/>
                <w:szCs w:val="20"/>
              </w:rPr>
              <w:t xml:space="preserve">Duración:</w:t>
            </w:r>
          </w:p>
        </w:tc>
        <w:tc>
          <w:tcPr>
            <w:tcW w:type="dxa" w:w="6120"/>
            <w:tcMar>
              <w:top w:type="dxa" w:w="80"/>
              <w:left w:type="dxa" w:w="140"/>
              <w:bottom w:type="dxa" w:w="80"/>
              <w:right w:type="dxa" w:w="140"/>
            </w:tcMar>
          </w:tcPr>
          <w:p>
            <w:pPr>
              <w:spacing w:after="0"/>
            </w:pPr>
            <w:r>
              <w:rPr>
                <w:rFonts w:ascii="Calibri" w:cs="Calibri" w:eastAsia="Calibri" w:hAnsi="Calibri"/>
                <w:b w:val="false"/>
                <w:bCs w:val="false"/>
                <w:color w:val="2A3547"/>
                <w:sz w:val="20"/>
                <w:szCs w:val="20"/>
              </w:rPr>
              <w:t xml:space="preserve">80 minutos</w:t>
            </w:r>
          </w:p>
        </w:tc>
      </w:tr>
      <w:tr>
        <w:tc>
          <w:tcPr>
            <w:tcW w:type="dxa" w:w="3060"/>
            <w:shd w:fill="FDFAF3" w:val="clear"/>
            <w:tcMar>
              <w:top w:type="dxa" w:w="80"/>
              <w:left w:type="dxa" w:w="140"/>
              <w:bottom w:type="dxa" w:w="80"/>
              <w:right w:type="dxa" w:w="140"/>
            </w:tcMar>
          </w:tcPr>
          <w:p>
            <w:pPr>
              <w:spacing w:after="0"/>
            </w:pPr>
            <w:r>
              <w:rPr>
                <w:rFonts w:ascii="Calibri" w:cs="Calibri" w:eastAsia="Calibri" w:hAnsi="Calibri"/>
                <w:b/>
                <w:bCs/>
                <w:color w:val="2A3547"/>
                <w:sz w:val="20"/>
                <w:szCs w:val="20"/>
              </w:rPr>
              <w:t xml:space="preserve">Ciclo:</w:t>
            </w:r>
          </w:p>
        </w:tc>
        <w:tc>
          <w:tcPr>
            <w:tcW w:type="dxa" w:w="6120"/>
            <w:tcMar>
              <w:top w:type="dxa" w:w="80"/>
              <w:left w:type="dxa" w:w="140"/>
              <w:bottom w:type="dxa" w:w="80"/>
              <w:right w:type="dxa" w:w="140"/>
            </w:tcMar>
          </w:tcPr>
          <w:p>
            <w:pPr>
              <w:spacing w:after="0"/>
            </w:pPr>
            <w:r>
              <w:rPr>
                <w:rFonts w:ascii="Calibri" w:cs="Calibri" w:eastAsia="Calibri" w:hAnsi="Calibri"/>
                <w:b w:val="false"/>
                <w:bCs w:val="false"/>
                <w:color w:val="2A3547"/>
                <w:sz w:val="20"/>
                <w:szCs w:val="20"/>
              </w:rPr>
              <w:t xml:space="preserve">26/2 — Segundo cuatrimestre · Unidad III</w:t>
            </w:r>
          </w:p>
        </w:tc>
      </w:tr>
    </w:tbl>
    <w:p>
      <w:pPr>
        <w:spacing w:after="160"/>
      </w:pPr>
      <w:r>
        <w:rPr>
          <w:rFonts w:ascii="Calibri" w:cs="Calibri" w:eastAsia="Calibri" w:hAnsi="Calibri"/>
          <w:color w:val="2A3547"/>
          <w:sz w:val="22"/>
          <w:szCs w:val="22"/>
        </w:rPr>
        <w:t xml:space="preserve"/>
      </w:r>
    </w:p>
    <w:p>
      <w:pPr>
        <w:spacing w:after="120"/>
      </w:pPr>
      <w:r>
        <w:rPr>
          <w:rFonts w:ascii="Calibri" w:cs="Calibri" w:eastAsia="Calibri" w:hAnsi="Calibri"/>
          <w:b/>
          <w:bCs/>
          <w:color w:val="22334D"/>
          <w:sz w:val="23"/>
          <w:szCs w:val="23"/>
        </w:rPr>
        <w:t xml:space="preserve">Clase 11 — Motivación y autoestima</w:t>
      </w:r>
    </w:p>
    <w:p>
      <w:pPr>
        <w:spacing w:after="200"/>
      </w:pPr>
      <w:r>
        <w:rPr>
          <w:rFonts w:ascii="Calibri" w:cs="Calibri" w:eastAsia="Calibri" w:hAnsi="Calibri"/>
          <w:i/>
          <w:iCs/>
          <w:color w:val="C4633E"/>
          <w:sz w:val="24"/>
          <w:szCs w:val="24"/>
        </w:rPr>
        <w:t xml:space="preserve">¿Qué mueve a aprender? ¿Cómo se construye la autoestima de quien aprende?</w:t>
      </w:r>
    </w:p>
    <w:p>
      <w:pPr>
        <w:spacing w:after="120"/>
      </w:pPr>
      <w:r>
        <w:rPr>
          <w:rFonts w:ascii="Calibri" w:cs="Calibri" w:eastAsia="Calibri" w:hAnsi="Calibri"/>
          <w:b/>
          <w:bCs/>
          <w:color w:val="22334D"/>
          <w:sz w:val="23"/>
          <w:szCs w:val="23"/>
        </w:rPr>
        <w:t xml:space="preserve">Propósitos de la clase</w:t>
      </w:r>
    </w:p>
    <w:p>
      <w:pPr>
        <w:pStyle w:val="ListParagraph"/>
        <w:numPr>
          <w:ilvl w:val="0"/>
          <w:numId w:val="2"/>
        </w:numPr>
        <w:spacing w:after="80"/>
      </w:pPr>
      <w:r>
        <w:rPr>
          <w:rFonts w:ascii="Calibri" w:cs="Calibri" w:eastAsia="Calibri" w:hAnsi="Calibri"/>
          <w:color w:val="2A3547"/>
          <w:sz w:val="21"/>
          <w:szCs w:val="21"/>
        </w:rPr>
        <w:t xml:space="preserve">Comprender las principales teorías de la motivación para el aprendizaje (intrínseca y extrínseca, autoeficacia, atribuciones causales) y su impacto en la práctica docente.</w:t>
      </w:r>
    </w:p>
    <w:p>
      <w:pPr>
        <w:pStyle w:val="ListParagraph"/>
        <w:numPr>
          <w:ilvl w:val="0"/>
          <w:numId w:val="2"/>
        </w:numPr>
        <w:spacing w:after="80"/>
      </w:pPr>
      <w:r>
        <w:rPr>
          <w:rFonts w:ascii="Calibri" w:cs="Calibri" w:eastAsia="Calibri" w:hAnsi="Calibri"/>
          <w:color w:val="2A3547"/>
          <w:sz w:val="21"/>
          <w:szCs w:val="21"/>
        </w:rPr>
        <w:t xml:space="preserve">Analizar la autoestima académica como construcción personal y relacional, distinguiéndola de la autoeficacia.</w:t>
      </w:r>
    </w:p>
    <w:p>
      <w:pPr>
        <w:pStyle w:val="ListParagraph"/>
        <w:numPr>
          <w:ilvl w:val="0"/>
          <w:numId w:val="2"/>
        </w:numPr>
        <w:spacing w:after="80"/>
      </w:pPr>
      <w:r>
        <w:rPr>
          <w:rFonts w:ascii="Calibri" w:cs="Calibri" w:eastAsia="Calibri" w:hAnsi="Calibri"/>
          <w:color w:val="2A3547"/>
          <w:sz w:val="21"/>
          <w:szCs w:val="21"/>
        </w:rPr>
        <w:t xml:space="preserve">Reconocer el efecto Pygmalión como mecanismo por el cual las expectativas docentes influyen en la motivación, la autoestima y el rendimiento real de los alumnos.</w:t>
      </w:r>
    </w:p>
    <w:p>
      <w:pPr>
        <w:pStyle w:val="ListParagraph"/>
        <w:numPr>
          <w:ilvl w:val="0"/>
          <w:numId w:val="2"/>
        </w:numPr>
        <w:spacing w:after="80"/>
      </w:pPr>
      <w:r>
        <w:rPr>
          <w:rFonts w:ascii="Calibri" w:cs="Calibri" w:eastAsia="Calibri" w:hAnsi="Calibri"/>
          <w:color w:val="2A3547"/>
          <w:sz w:val="21"/>
          <w:szCs w:val="21"/>
        </w:rPr>
        <w:t xml:space="preserve">Vincular motivación, autoestima y expectativas con decisiones concretas de enseñanza en el nivel inicial.</w:t>
      </w:r>
    </w:p>
    <w:p>
      <w:pPr>
        <w:spacing w:after="120"/>
      </w:pPr>
      <w:r>
        <w:rPr>
          <w:rFonts w:ascii="Calibri" w:cs="Calibri" w:eastAsia="Calibri" w:hAnsi="Calibri"/>
          <w:b/>
          <w:bCs/>
          <w:color w:val="22334D"/>
          <w:sz w:val="23"/>
          <w:szCs w:val="23"/>
        </w:rPr>
        <w:t xml:space="preserve">Estructura de la clase (4 fases)</w:t>
      </w:r>
    </w:p>
    <w:p>
      <w:pPr>
        <w:spacing w:after="120"/>
      </w:pPr>
      <w:r>
        <w:rPr>
          <w:rFonts w:ascii="Calibri" w:cs="Calibri" w:eastAsia="Calibri" w:hAnsi="Calibri"/>
          <w:b/>
          <w:bCs/>
          <w:color w:val="C4633E"/>
          <w:sz w:val="26"/>
          <w:szCs w:val="26"/>
        </w:rPr>
        <w:t xml:space="preserve">Fase 1 — Apertura: La motivación que (no) tuvimos</w:t>
      </w:r>
    </w:p>
    <w:p>
      <w:pPr>
        <w:spacing w:after="120"/>
      </w:pPr>
      <w:r>
        <w:rPr>
          <w:rFonts w:ascii="Calibri" w:cs="Calibri" w:eastAsia="Calibri" w:hAnsi="Calibri"/>
          <w:i/>
          <w:iCs/>
          <w:color w:val="6B7280"/>
          <w:sz w:val="19"/>
          <w:szCs w:val="19"/>
        </w:rPr>
        <w:t xml:space="preserve">Duración: 12 minutos · Formato: individual → plenario corto</w:t>
      </w:r>
    </w:p>
    <w:p>
      <w:pPr>
        <w:pStyle w:val="ListParagraph"/>
        <w:numPr>
          <w:ilvl w:val="0"/>
          <w:numId w:val="2"/>
        </w:numPr>
        <w:spacing w:after="80"/>
      </w:pPr>
      <w:r>
        <w:rPr>
          <w:rFonts w:ascii="Calibri" w:cs="Calibri" w:eastAsia="Calibri" w:hAnsi="Calibri"/>
          <w:color w:val="2A3547"/>
          <w:sz w:val="21"/>
          <w:szCs w:val="21"/>
        </w:rPr>
        <w:t xml:space="preserve">Do Now (individual): «Pensá en una actividad que te motivó mucho en tu historia escolar. ¿Qué tenía esa actividad que te hacía querer participar?» Cada estudiante escribe brevemente.</w:t>
      </w:r>
    </w:p>
    <w:p>
      <w:pPr>
        <w:pStyle w:val="ListParagraph"/>
        <w:numPr>
          <w:ilvl w:val="0"/>
          <w:numId w:val="2"/>
        </w:numPr>
        <w:spacing w:after="80"/>
      </w:pPr>
      <w:r>
        <w:rPr>
          <w:rFonts w:ascii="Calibri" w:cs="Calibri" w:eastAsia="Calibri" w:hAnsi="Calibri"/>
          <w:color w:val="2A3547"/>
          <w:sz w:val="21"/>
          <w:szCs w:val="21"/>
        </w:rPr>
        <w:t xml:space="preserve">La docente sistematiza las respuestas en el pizarrón agrupándolas en categorías que emergen inductivamente (variedad, desafío, vínculo, juego, autonomía).</w:t>
      </w:r>
    </w:p>
    <w:p>
      <w:pPr>
        <w:pStyle w:val="ListParagraph"/>
        <w:numPr>
          <w:ilvl w:val="0"/>
          <w:numId w:val="2"/>
        </w:numPr>
        <w:spacing w:after="80"/>
      </w:pPr>
      <w:r>
        <w:rPr>
          <w:rFonts w:ascii="Calibri" w:cs="Calibri" w:eastAsia="Calibri" w:hAnsi="Calibri"/>
          <w:color w:val="2A3547"/>
          <w:sz w:val="21"/>
          <w:szCs w:val="21"/>
        </w:rPr>
        <w:t xml:space="preserve">Conexión desde la Clase 10: «Ya sabemos que cada uno aprende de manera distinta. Hoy vamos a ver qué dice la psicología sobre por qué a veces el motor no acompaña.»</w:t>
      </w:r>
    </w:p>
    <w:p>
      <w:pPr>
        <w:spacing w:after="120"/>
      </w:pPr>
      <w:r>
        <w:rPr>
          <w:rFonts w:ascii="Calibri" w:cs="Calibri" w:eastAsia="Calibri" w:hAnsi="Calibri"/>
          <w:i/>
          <w:iCs/>
          <w:color w:val="2A3547"/>
          <w:sz w:val="19"/>
          <w:szCs w:val="19"/>
        </w:rPr>
        <w:t xml:space="preserve">Por qué funciona: activar conocimientos previos a partir de la experiencia propia crea un anclaje emocional con el tema. La sistematización inductiva posiciona a la docente como facilitadora, no como depositaria.</w:t>
      </w:r>
    </w:p>
    <w:p>
      <w:pPr>
        <w:spacing w:after="120"/>
      </w:pPr>
      <w:r>
        <w:rPr>
          <w:rFonts w:ascii="Calibri" w:cs="Calibri" w:eastAsia="Calibri" w:hAnsi="Calibri"/>
          <w:b/>
          <w:bCs/>
          <w:color w:val="C4633E"/>
          <w:sz w:val="26"/>
          <w:szCs w:val="26"/>
        </w:rPr>
        <w:t xml:space="preserve">Fase 2 — Exploración guiada: Los lentes de la motivación</w:t>
      </w:r>
    </w:p>
    <w:p>
      <w:pPr>
        <w:spacing w:after="120"/>
      </w:pPr>
      <w:r>
        <w:rPr>
          <w:rFonts w:ascii="Calibri" w:cs="Calibri" w:eastAsia="Calibri" w:hAnsi="Calibri"/>
          <w:i/>
          <w:iCs/>
          <w:color w:val="6B7280"/>
          <w:sz w:val="19"/>
          <w:szCs w:val="19"/>
        </w:rPr>
        <w:t xml:space="preserve">Duración: 28 minutos · Formato: exposición dialogada + análisis de frases docentes</w:t>
      </w:r>
    </w:p>
    <w:p>
      <w:pPr>
        <w:pStyle w:val="ListParagraph"/>
        <w:numPr>
          <w:ilvl w:val="0"/>
          <w:numId w:val="2"/>
        </w:numPr>
        <w:spacing w:after="80"/>
      </w:pPr>
      <w:r>
        <w:rPr>
          <w:rFonts w:ascii="Calibri" w:cs="Calibri" w:eastAsia="Calibri" w:hAnsi="Calibri"/>
          <w:color w:val="2A3547"/>
          <w:sz w:val="21"/>
          <w:szCs w:val="21"/>
        </w:rPr>
        <w:t xml:space="preserve">Paso 1 — Intrínseca vs. extrínseca (9 min): presentación sintética de Deci y Ryan (1985), conectando con lo emergido en la Fase 1. Pregunta bisagra: «¿Alguna vez recibiste un premio por algo que ya te gustaba hacer y, después de eso, lo hiciste menos?» Introduce la sobrejustificación de forma vivencial. Cierre del paso: el juego libre como espacio por excelencia de motivación intrínseca en el nivel inicial.</w:t>
      </w:r>
    </w:p>
    <w:p>
      <w:pPr>
        <w:pStyle w:val="ListParagraph"/>
        <w:numPr>
          <w:ilvl w:val="0"/>
          <w:numId w:val="2"/>
        </w:numPr>
        <w:spacing w:after="80"/>
      </w:pPr>
      <w:r>
        <w:rPr>
          <w:rFonts w:ascii="Calibri" w:cs="Calibri" w:eastAsia="Calibri" w:hAnsi="Calibri"/>
          <w:color w:val="2A3547"/>
          <w:sz w:val="21"/>
          <w:szCs w:val="21"/>
        </w:rPr>
        <w:t xml:space="preserve">Paso 2 — Autoeficacia y atribuciones (9 min): Bandura (1977) y Weiner (1986) de forma concisa, con un ejemplo concreto de sala. Pregunta bisagra: «Si un niño falla repetidamente en una actividad, ¿qué le decimos: 'sos muy inteligente' o 'te esforzaste mucho'? ¿Cuál de las dos frases lo motiva a seguir intentando?» Explicitar: las atribuciones al esfuerzo son las únicas que mantienen la motivación ante el fracaso.</w:t>
      </w:r>
    </w:p>
    <w:p>
      <w:pPr>
        <w:pStyle w:val="ListParagraph"/>
        <w:numPr>
          <w:ilvl w:val="0"/>
          <w:numId w:val="2"/>
        </w:numPr>
        <w:spacing w:after="80"/>
      </w:pPr>
      <w:r>
        <w:rPr>
          <w:rFonts w:ascii="Calibri" w:cs="Calibri" w:eastAsia="Calibri" w:hAnsi="Calibri"/>
          <w:color w:val="2A3547"/>
          <w:sz w:val="21"/>
          <w:szCs w:val="21"/>
        </w:rPr>
        <w:t xml:space="preserve">Paso 3 — La autoestima de quien aprende (10 min): James (éxito ÷ pretensiones) y Rosenberg (autoestima global vs. académica). Distinción conceptual clave: autoeficacia («puedo») no es autoestima («valgo»). Mini-análisis de frases docentes: cada mesa clasifica elogios («¡sos genial!», «me encanta cómo probaste otra estrategia», «qué buena chica sos») en: construye autoeficacia, construye autoestima, elogio vacío. Presentación esquemática del círculo virtuoso/vicioso motivación–logro–reconocimiento–autoestima.</w:t>
      </w:r>
    </w:p>
    <w:p>
      <w:pPr>
        <w:spacing w:after="120"/>
      </w:pPr>
      <w:r>
        <w:rPr>
          <w:rFonts w:ascii="Calibri" w:cs="Calibri" w:eastAsia="Calibri" w:hAnsi="Calibri"/>
          <w:i/>
          <w:iCs/>
          <w:color w:val="2A3547"/>
          <w:sz w:val="19"/>
          <w:szCs w:val="19"/>
        </w:rPr>
        <w:t xml:space="preserve">Por qué funciona: la exposición dialogada mantiene el ritmo ágil con preguntas bisagra que verifican comprensión en tiempo real. El análisis de frases traduce la teoría al lenguaje cotidiano de la sala, donde realmente se juegan estos conceptos.</w:t>
      </w:r>
    </w:p>
    <w:p>
      <w:pPr>
        <w:spacing w:after="120"/>
      </w:pPr>
      <w:r>
        <w:rPr>
          <w:rFonts w:ascii="Calibri" w:cs="Calibri" w:eastAsia="Calibri" w:hAnsi="Calibri"/>
          <w:b/>
          <w:bCs/>
          <w:color w:val="C4633E"/>
          <w:sz w:val="26"/>
          <w:szCs w:val="26"/>
        </w:rPr>
        <w:t xml:space="preserve">Fase 3 — Profundización: El efecto Pygmalión en el aula</w:t>
      </w:r>
    </w:p>
    <w:p>
      <w:pPr>
        <w:spacing w:after="120"/>
      </w:pPr>
      <w:r>
        <w:rPr>
          <w:rFonts w:ascii="Calibri" w:cs="Calibri" w:eastAsia="Calibri" w:hAnsi="Calibri"/>
          <w:i/>
          <w:iCs/>
          <w:color w:val="6B7280"/>
          <w:sz w:val="19"/>
          <w:szCs w:val="19"/>
        </w:rPr>
        <w:t xml:space="preserve">Duración: 25 minutos · Formato: narrativa + análisis de situaciones en parejas + puesta en común</w:t>
      </w:r>
    </w:p>
    <w:p>
      <w:pPr>
        <w:pStyle w:val="ListParagraph"/>
        <w:numPr>
          <w:ilvl w:val="0"/>
          <w:numId w:val="2"/>
        </w:numPr>
        <w:spacing w:after="80"/>
      </w:pPr>
      <w:r>
        <w:rPr>
          <w:rFonts w:ascii="Calibri" w:cs="Calibri" w:eastAsia="Calibri" w:hAnsi="Calibri"/>
          <w:color w:val="2A3547"/>
          <w:sz w:val="21"/>
          <w:szCs w:val="21"/>
        </w:rPr>
        <w:t xml:space="preserve">Paso 1 — La investigación de Rosenthal y Jacobson (7 min): narración del experimento de 1968 (etiquetados al azar como «florecimientos»; mejoras reales meses después). Pregunta clave: «¿Cómo se transmiten las expectativas sin decir nada?» Listado en pizarrón: tiempo de espera, complejidad de preguntas, tipo de ayuda, comentarios evaluativos, miradas.</w:t>
      </w:r>
    </w:p>
    <w:p>
      <w:pPr>
        <w:pStyle w:val="ListParagraph"/>
        <w:numPr>
          <w:ilvl w:val="0"/>
          <w:numId w:val="2"/>
        </w:numPr>
        <w:spacing w:after="80"/>
      </w:pPr>
      <w:r>
        <w:rPr>
          <w:rFonts w:ascii="Calibri" w:cs="Calibri" w:eastAsia="Calibri" w:hAnsi="Calibri"/>
          <w:color w:val="2A3547"/>
          <w:sz w:val="21"/>
          <w:szCs w:val="21"/>
        </w:rPr>
        <w:t xml:space="preserve">Paso 2 — Análisis de situaciones en parejas (13 min): tres situaciones breves (material adjunto): (a) «el que siempre sabe», (b) «el que siempre necesita ayuda», (c) «el que falló tres veces». Cada pareja identifica: qué expectativa transmite la docente, cómo se transmite, qué efecto puede tener en la motivación y la autoestima del niño, y cómo podría modificarse esa interacción.</w:t>
      </w:r>
    </w:p>
    <w:p>
      <w:pPr>
        <w:pStyle w:val="ListParagraph"/>
        <w:numPr>
          <w:ilvl w:val="0"/>
          <w:numId w:val="2"/>
        </w:numPr>
        <w:spacing w:after="80"/>
      </w:pPr>
      <w:r>
        <w:rPr>
          <w:rFonts w:ascii="Calibri" w:cs="Calibri" w:eastAsia="Calibri" w:hAnsi="Calibri"/>
          <w:color w:val="2A3547"/>
          <w:sz w:val="21"/>
          <w:szCs w:val="21"/>
        </w:rPr>
        <w:t xml:space="preserve">Paso 3 — Puesta en común (5 min): sistematización de canales de transmisión de expectativas y de estrategias concretas de modificación.</w:t>
      </w:r>
    </w:p>
    <w:p>
      <w:pPr>
        <w:spacing w:after="120"/>
      </w:pPr>
      <w:r>
        <w:rPr>
          <w:rFonts w:ascii="Calibri" w:cs="Calibri" w:eastAsia="Calibri" w:hAnsi="Calibri"/>
          <w:i/>
          <w:iCs/>
          <w:color w:val="2A3547"/>
          <w:sz w:val="19"/>
          <w:szCs w:val="19"/>
        </w:rPr>
        <w:t xml:space="preserve">Por qué funciona: las situaciones concretas permiten reconocer prácticas propias sin sentirse señaladas; el trabajo en parejas reduce el riesgo del habla pública y multiplica las hipótesis disponibles para la puesta en común.</w:t>
      </w:r>
    </w:p>
    <w:p>
      <w:pPr>
        <w:spacing w:after="120"/>
      </w:pPr>
      <w:r>
        <w:rPr>
          <w:rFonts w:ascii="Calibri" w:cs="Calibri" w:eastAsia="Calibri" w:hAnsi="Calibri"/>
          <w:b/>
          <w:bCs/>
          <w:color w:val="C4633E"/>
          <w:sz w:val="26"/>
          <w:szCs w:val="26"/>
        </w:rPr>
        <w:t xml:space="preserve">Fase 4 — Cierre y proyección hacia la resiliencia</w:t>
      </w:r>
    </w:p>
    <w:p>
      <w:pPr>
        <w:spacing w:after="120"/>
      </w:pPr>
      <w:r>
        <w:rPr>
          <w:rFonts w:ascii="Calibri" w:cs="Calibri" w:eastAsia="Calibri" w:hAnsi="Calibri"/>
          <w:i/>
          <w:iCs/>
          <w:color w:val="6B7280"/>
          <w:sz w:val="19"/>
          <w:szCs w:val="19"/>
        </w:rPr>
        <w:t xml:space="preserve">Duración: 15 minutos · Formato: hinge question individual + síntesis co-construida + consigna puente</w:t>
      </w:r>
    </w:p>
    <w:p>
      <w:pPr>
        <w:pStyle w:val="ListParagraph"/>
        <w:numPr>
          <w:ilvl w:val="0"/>
          <w:numId w:val="2"/>
        </w:numPr>
        <w:spacing w:after="80"/>
      </w:pPr>
      <w:r>
        <w:rPr>
          <w:rFonts w:ascii="Calibri" w:cs="Calibri" w:eastAsia="Calibri" w:hAnsi="Calibri"/>
          <w:color w:val="2A3547"/>
          <w:sz w:val="21"/>
          <w:szCs w:val="21"/>
        </w:rPr>
        <w:t xml:space="preserve">Hinge question (5 min): Valentín (5 años) intenta armar una torre, se cae tres veces y dice «yo no sirvo para esto». ¿Qué concepto explica mejor lo que pasa? A) Motivación extrínseca · B) Atribución a capacidad estable (indefensión) · C) Sobrejustificación · D) Alta autoestima con baja autoeficacia. Votación rápida, discusión breve y devolución.</w:t>
      </w:r>
    </w:p>
    <w:p>
      <w:pPr>
        <w:pStyle w:val="ListParagraph"/>
        <w:numPr>
          <w:ilvl w:val="0"/>
          <w:numId w:val="2"/>
        </w:numPr>
        <w:spacing w:after="80"/>
      </w:pPr>
      <w:r>
        <w:rPr>
          <w:rFonts w:ascii="Calibri" w:cs="Calibri" w:eastAsia="Calibri" w:hAnsi="Calibri"/>
          <w:color w:val="2A3547"/>
          <w:sz w:val="21"/>
          <w:szCs w:val="21"/>
        </w:rPr>
        <w:t xml:space="preserve">Síntesis co-construida (5 min): reconstrucción del círculo motivación–logro–reconocimiento–autoestima en el pizarrón, con ejemplos aportados por las estudiantes.</w:t>
      </w:r>
    </w:p>
    <w:p>
      <w:pPr>
        <w:pStyle w:val="ListParagraph"/>
        <w:numPr>
          <w:ilvl w:val="0"/>
          <w:numId w:val="2"/>
        </w:numPr>
        <w:spacing w:after="80"/>
      </w:pPr>
      <w:r>
        <w:rPr>
          <w:rFonts w:ascii="Calibri" w:cs="Calibri" w:eastAsia="Calibri" w:hAnsi="Calibri"/>
          <w:color w:val="2A3547"/>
          <w:sz w:val="21"/>
          <w:szCs w:val="21"/>
        </w:rPr>
        <w:t xml:space="preserve">Consigna puente (5 min): «Pensá en alguien que atravesó una época difícil y aun así siguió aprendiendo. Escribí quién era, qué dificultad atravesaba y qué o quién lo sostuvo.» Reflexión escrita de media carilla que abre la Clase 12 (Resiliencia y autoestima).</w:t>
      </w:r>
    </w:p>
    <w:p>
      <w:pPr>
        <w:spacing w:after="120"/>
      </w:pPr>
      <w:r>
        <w:rPr>
          <w:rFonts w:ascii="Calibri" w:cs="Calibri" w:eastAsia="Calibri" w:hAnsi="Calibri"/>
          <w:i/>
          <w:iCs/>
          <w:color w:val="2A3547"/>
          <w:sz w:val="19"/>
          <w:szCs w:val="19"/>
        </w:rPr>
        <w:t xml:space="preserve">Por qué funciona: la hinge question permite verificar si el concepto central quedó instalado antes de cerrar; la consigna puente activa la experiencia personal que funcionará como material de apertura de la clase siguiente.</w:t>
      </w:r>
    </w:p>
    <w:p>
      <w:pPr>
        <w:spacing w:after="120"/>
      </w:pPr>
      <w:r>
        <w:rPr>
          <w:rFonts w:ascii="Calibri" w:cs="Calibri" w:eastAsia="Calibri" w:hAnsi="Calibri"/>
          <w:b/>
          <w:bCs/>
          <w:color w:val="22334D"/>
          <w:sz w:val="23"/>
          <w:szCs w:val="23"/>
        </w:rPr>
        <w:t xml:space="preserve">Materiales</w:t>
      </w:r>
    </w:p>
    <w:p>
      <w:pPr>
        <w:pStyle w:val="ListParagraph"/>
        <w:numPr>
          <w:ilvl w:val="0"/>
          <w:numId w:val="2"/>
        </w:numPr>
        <w:spacing w:after="80"/>
      </w:pPr>
      <w:r>
        <w:rPr>
          <w:rFonts w:ascii="Calibri" w:cs="Calibri" w:eastAsia="Calibri" w:hAnsi="Calibri"/>
          <w:color w:val="2A3547"/>
          <w:sz w:val="21"/>
          <w:szCs w:val="21"/>
        </w:rPr>
        <w:t xml:space="preserve">Presentación de la Clase 11 (proyector o pizarrón).</w:t>
      </w:r>
    </w:p>
    <w:p>
      <w:pPr>
        <w:pStyle w:val="ListParagraph"/>
        <w:numPr>
          <w:ilvl w:val="0"/>
          <w:numId w:val="2"/>
        </w:numPr>
        <w:spacing w:after="80"/>
      </w:pPr>
      <w:r>
        <w:rPr>
          <w:rFonts w:ascii="Calibri" w:cs="Calibri" w:eastAsia="Calibri" w:hAnsi="Calibri"/>
          <w:color w:val="2A3547"/>
          <w:sz w:val="21"/>
          <w:szCs w:val="21"/>
        </w:rPr>
        <w:t xml:space="preserve">Material de lectura de la Clase 11 (PDF/HTML, publicado en Classroom antes de la clase).</w:t>
      </w:r>
    </w:p>
    <w:p>
      <w:pPr>
        <w:pStyle w:val="ListParagraph"/>
        <w:numPr>
          <w:ilvl w:val="0"/>
          <w:numId w:val="2"/>
        </w:numPr>
        <w:spacing w:after="80"/>
      </w:pPr>
      <w:r>
        <w:rPr>
          <w:rFonts w:ascii="Calibri" w:cs="Calibri" w:eastAsia="Calibri" w:hAnsi="Calibri"/>
          <w:color w:val="2A3547"/>
          <w:sz w:val="21"/>
          <w:szCs w:val="21"/>
        </w:rPr>
        <w:t xml:space="preserve">Situaciones de análisis — efecto Pygmalion (impresas, una tanda por pareja).</w:t>
      </w:r>
    </w:p>
    <w:p>
      <w:pPr>
        <w:pStyle w:val="ListParagraph"/>
        <w:numPr>
          <w:ilvl w:val="0"/>
          <w:numId w:val="2"/>
        </w:numPr>
        <w:spacing w:after="80"/>
      </w:pPr>
      <w:r>
        <w:rPr>
          <w:rFonts w:ascii="Calibri" w:cs="Calibri" w:eastAsia="Calibri" w:hAnsi="Calibri"/>
          <w:color w:val="2A3547"/>
          <w:sz w:val="21"/>
          <w:szCs w:val="21"/>
        </w:rPr>
        <w:t xml:space="preserve">Pizarrón o papel afiche para la sistematización.</w:t>
      </w:r>
    </w:p>
    <w:p>
      <w:pPr>
        <w:spacing w:after="120"/>
      </w:pPr>
      <w:r>
        <w:rPr>
          <w:rFonts w:ascii="Calibri" w:cs="Calibri" w:eastAsia="Calibri" w:hAnsi="Calibri"/>
          <w:b/>
          <w:bCs/>
          <w:color w:val="22334D"/>
          <w:sz w:val="23"/>
          <w:szCs w:val="23"/>
        </w:rPr>
        <w:t xml:space="preserve">Evidencias de aprendizaje de la clase</w:t>
      </w:r>
    </w:p>
    <w:p>
      <w:pPr>
        <w:pStyle w:val="ListParagraph"/>
        <w:numPr>
          <w:ilvl w:val="0"/>
          <w:numId w:val="2"/>
        </w:numPr>
        <w:spacing w:after="80"/>
      </w:pPr>
      <w:r>
        <w:rPr>
          <w:rFonts w:ascii="Calibri" w:cs="Calibri" w:eastAsia="Calibri" w:hAnsi="Calibri"/>
          <w:color w:val="2A3547"/>
          <w:sz w:val="21"/>
          <w:szCs w:val="21"/>
        </w:rPr>
        <w:t xml:space="preserve">Respuestas escritas del Do Now.</w:t>
      </w:r>
    </w:p>
    <w:p>
      <w:pPr>
        <w:pStyle w:val="ListParagraph"/>
        <w:numPr>
          <w:ilvl w:val="0"/>
          <w:numId w:val="2"/>
        </w:numPr>
        <w:spacing w:after="80"/>
      </w:pPr>
      <w:r>
        <w:rPr>
          <w:rFonts w:ascii="Calibri" w:cs="Calibri" w:eastAsia="Calibri" w:hAnsi="Calibri"/>
          <w:color w:val="2A3547"/>
          <w:sz w:val="21"/>
          <w:szCs w:val="21"/>
        </w:rPr>
        <w:t xml:space="preserve">Clasificación argumentada de frases docentes (construye autoeficacia / autoestima / elogio vacío).</w:t>
      </w:r>
    </w:p>
    <w:p>
      <w:pPr>
        <w:pStyle w:val="ListParagraph"/>
        <w:numPr>
          <w:ilvl w:val="0"/>
          <w:numId w:val="2"/>
        </w:numPr>
        <w:spacing w:after="80"/>
      </w:pPr>
      <w:r>
        <w:rPr>
          <w:rFonts w:ascii="Calibri" w:cs="Calibri" w:eastAsia="Calibri" w:hAnsi="Calibri"/>
          <w:color w:val="2A3547"/>
          <w:sz w:val="21"/>
          <w:szCs w:val="21"/>
        </w:rPr>
        <w:t xml:space="preserve">Análisis escrito de las situaciones Pygmalion (por pareja).</w:t>
      </w:r>
    </w:p>
    <w:p>
      <w:pPr>
        <w:pStyle w:val="ListParagraph"/>
        <w:numPr>
          <w:ilvl w:val="0"/>
          <w:numId w:val="2"/>
        </w:numPr>
        <w:spacing w:after="80"/>
      </w:pPr>
      <w:r>
        <w:rPr>
          <w:rFonts w:ascii="Calibri" w:cs="Calibri" w:eastAsia="Calibri" w:hAnsi="Calibri"/>
          <w:color w:val="2A3547"/>
          <w:sz w:val="21"/>
          <w:szCs w:val="21"/>
        </w:rPr>
        <w:t xml:space="preserve">Respuesta individual a la hinge question.</w:t>
      </w:r>
    </w:p>
    <w:p>
      <w:pPr>
        <w:pStyle w:val="ListParagraph"/>
        <w:numPr>
          <w:ilvl w:val="0"/>
          <w:numId w:val="2"/>
        </w:numPr>
        <w:spacing w:after="80"/>
      </w:pPr>
      <w:r>
        <w:rPr>
          <w:rFonts w:ascii="Calibri" w:cs="Calibri" w:eastAsia="Calibri" w:hAnsi="Calibri"/>
          <w:color w:val="2A3547"/>
          <w:sz w:val="21"/>
          <w:szCs w:val="21"/>
        </w:rPr>
        <w:t xml:space="preserve">Reflexión escrita puente iniciada en clase (½ carilla).</w:t>
      </w:r>
    </w:p>
    <w:p>
      <w:pPr>
        <w:spacing w:after="120"/>
      </w:pPr>
      <w:r>
        <w:rPr>
          <w:rFonts w:ascii="Calibri" w:cs="Calibri" w:eastAsia="Calibri" w:hAnsi="Calibri"/>
          <w:b/>
          <w:bCs/>
          <w:color w:val="22334D"/>
          <w:sz w:val="23"/>
          <w:szCs w:val="23"/>
        </w:rPr>
        <w:t xml:space="preserve">Nota de recorte didáctico</w:t>
      </w:r>
    </w:p>
    <w:p>
      <w:pPr>
        <w:spacing w:after="120"/>
      </w:pPr>
      <w:r>
        <w:rPr>
          <w:rFonts w:ascii="Calibri" w:cs="Calibri" w:eastAsia="Calibri" w:hAnsi="Calibri"/>
          <w:i/>
          <w:iCs/>
          <w:color w:val="2A3547"/>
          <w:sz w:val="20"/>
          <w:szCs w:val="20"/>
        </w:rPr>
        <w:t xml:space="preserve">El debate sobre la educabilidad — presente en versiones anteriores de esta clase — se traslada íntegramente a la Unidad IV (Clase 14), donde se articula con el análisis del fracaso escolar masivo según el programa. La autoestima, en cambio, se incorpora aquí y se retoma como factor protector en la Clase 12 (Resiliencia).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2026-08-22T03:42:49.346Z</dcterms:created>
  <dcterms:modified xsi:type="dcterms:W3CDTF">2026-08-22T03:42:49.346Z</dcterms:modified>
</cp:coreProperties>
</file>

<file path=docProps/custom.xml><?xml version="1.0" encoding="utf-8"?>
<Properties xmlns="http://schemas.openxmlformats.org/officeDocument/2006/custom-properties" xmlns:vt="http://schemas.openxmlformats.org/officeDocument/2006/docPropsVTypes"/>
</file>