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GUION DE BOLSILLO · CLASE 12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Resiliencia y escuela — Uriarte · Rutter · Higgins · Henderson-Milstein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222222"/>
          <w:sz w:val="26"/>
          <w:szCs w:val="26"/>
        </w:rPr>
        <w:t xml:space="preserve">Psicología Educacional · Prof. de Educación Inicial 2° A · 80 minutos · 21 estudiantes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ANTES DE ENTRAR —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6"/>
          <w:szCs w:val="26"/>
        </w:rPr>
        <w:t xml:space="preserve">HTML abierto en el navegador: probá Espacio (avanzar), F (pantalla completa), N (notas), G (grilla) y los temporizadores.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6"/>
          <w:szCs w:val="26"/>
        </w:rPr>
        <w:t xml:space="preserve">Material de lectura Clase 12: 1 juego cada 2 estudiantes (~11 copias) o digital en el celular.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6"/>
          <w:szCs w:val="26"/>
        </w:rPr>
        <w:t xml:space="preserve">Escrituras puente de la Clase 11: avisado en el anuncio anterior que las traigan.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6"/>
          <w:szCs w:val="26"/>
        </w:rPr>
        <w:t xml:space="preserve">Situaciones del taller recortadas: 1 tanda de 3 por grupo (~7 tandas); alternativa sin copias: proyectarlas (Diap. 15).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6"/>
          <w:szCs w:val="26"/>
        </w:rPr>
        <w:t xml:space="preserve">Papel afiche o pizarrón libre para la sistematización de la Fase 1 y la síntesis del cierre.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26"/>
          <w:szCs w:val="26"/>
        </w:rPr>
        <w:t xml:space="preserve">Guion del hinge Sofía a mano (clave abajo) · Consignas puente impresas: 21 copias.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GUION MINUTO A MINUTO</w:t>
      </w:r>
    </w:p>
    <w:tbl>
      <w:tblPr>
        <w:tblW w:type="dxa" w:w="14790"/>
        <w:tblBorders>
          <w:top w:val="single" w:color="BDBDBD" w:sz="2"/>
          <w:left w:val="single" w:color="BDBDBD" w:sz="2"/>
          <w:bottom w:val="single" w:color="BDBDBD" w:sz="2"/>
          <w:right w:val="single" w:color="BDBDBD" w:sz="2"/>
          <w:insideH w:val="single" w:color="BDBDBD" w:sz="2"/>
          <w:insideV w:val="single" w:color="BDBDBD" w:sz="2"/>
        </w:tblBorders>
      </w:tblPr>
      <w:tblGrid>
        <w:gridCol w:w="899"/>
        <w:gridCol w:w="9766"/>
        <w:gridCol w:w="4125"/>
      </w:tblGrid>
      <w:tr>
        <w:trPr>
          <w:tblHeader/>
        </w:trP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1F3864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MIN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1F3864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QUÉ HACÉS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1F3864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PANTALLA / MATERIAL</w:t>
            </w:r>
          </w:p>
        </w:tc>
      </w:tr>
      <w:tr>
        <w:tc>
          <w:tcPr>
            <w:tcW w:type="dxa" w:w="14790"/>
            <w:gridSpan w:val="3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DCE6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FASE 1 · APERTURA — LAS HISTORIAS QUE TRAJIMOS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0–2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Releés la consigna puente de la Clase 11: cada una vuelve sobre su historia escrita, en silencio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3 · sus cuadernos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2–8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Intercambio en parejas: comparten historias y responden «¿qué o quién sostuvo a esa persona?»; registran la frase «lo que la sostuvo fue…»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3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8–12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Puesta en común: agrupás los sostenes emergidos (vínculo · rutina · oportunidad escolar · deseo propio); tesis instalada: nadie se hace resiliente en soledad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4 · pizarrón</w:t>
            </w:r>
          </w:p>
        </w:tc>
      </w:tr>
      <w:tr>
        <w:tc>
          <w:tcPr>
            <w:tcW w:type="dxa" w:w="14790"/>
            <w:gridSpan w:val="3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DCE6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FASE 2 · MARCO CONCEPTUAL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12–21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Definición (Uriarte) + caso Malala con reveal; bisagra: «¿Malala nació especial o algo la sostuvo?»; explicitás Rutter: procesos sociales e intrapsíquicos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5·6</w:t>
            </w:r>
          </w:p>
        </w:tc>
      </w:tr>
      <w:tr>
        <w:tc>
          <w:tcPr>
            <w:tcW w:type="dxa" w:w="14790"/>
            <w:gridSpan w:val="3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DCE6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CHECKPOINT FORMATIVO · FRASES DEL AGUANTE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21–28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Frases escolares: «es re piola, aguanta todo» / «pasa por tantas cosas y ni se entera»; identificás el costo invisible y las reformulás con ellas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7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28–33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Presentás las dos miradas comparadas: riesgo / educación compensatoria vs. enfoque de la resiliencia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8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33–38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Trabajo relámpago por mesa: qué pregunta hace cada intervención («este no va a poder nunca» / «¿qué le funciona a este chico?») y qué efecto produce en la autoestima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9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38–40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Cierre: factores de riesgo vs. factores protectores + círculo de las dos miradas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10·11</w:t>
            </w:r>
          </w:p>
        </w:tc>
      </w:tr>
      <w:tr>
        <w:tc>
          <w:tcPr>
            <w:tcW w:type="dxa" w:w="14790"/>
            <w:gridSpan w:val="3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DCE6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FASE 3 · CONSTRUIR RESILIENCIA DESDE EL JARDÍN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40–46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Cualidades de Higgins conectadas con la Clase 11: autoestima consistente, autoeficacia, locus interno, atribuciones al esfuerzo («otra vez ellos»)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12·13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46–50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Seis pasos de Henderson y Milstein (3 amortiguan riesgo + 3 favorecen resiliencia); subrayás: el afecto es el más importante y permanente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14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50–60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TALLER: cada grupo toma su situación (Tomás / Camila / Benjamín) y diseña 3 intervenciones concretas con los seis pasos, nombrando el factor protector que activa cada una (temporiz. 10)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15 · tandas impresas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60–65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Puesta en común: agrupás las estrategias según los seis pasos; destacás: cada intervención actúa sobre el niño Y su ambiente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16</w:t>
            </w:r>
          </w:p>
        </w:tc>
      </w:tr>
      <w:tr>
        <w:tc>
          <w:tcPr>
            <w:tcW w:type="dxa" w:w="14790"/>
            <w:gridSpan w:val="3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DCE6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FASE 4 · CIERRE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65–67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Hinge: leés despacio → 3 segundos de silencio → voto con dedos (A–D)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17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67–70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Contás votos, discusión breve y devolución según la clave de abajo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17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70–75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Síntesis co-construida: reconstruís el esquema riesgo → factores protectores → resiliencia con ejemplos del taller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18 · pizarrón</w:t>
            </w:r>
          </w:p>
        </w:tc>
      </w:tr>
      <w:tr>
        <w:tc>
          <w:tcPr>
            <w:tcW w:type="dxa" w:w="8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75–80</w:t>
            </w:r>
          </w:p>
        </w:tc>
        <w:tc>
          <w:tcPr>
            <w:tcW w:type="dxa" w:w="976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Proyectás la consigna puente: 2 gestos para tu futura sala + a qué paso corresponde cada uno (½ carilla); gancho: Cyrulnik — «estamos modelados por el trato y las miradas de los demás»</w:t>
            </w:r>
          </w:p>
        </w:tc>
        <w:tc>
          <w:tcPr>
            <w:tcW w:type="dxa" w:w="4125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Diap. 19 · consignas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CLAVES RÁPIDAS</w:t>
      </w:r>
    </w:p>
    <w:tbl>
      <w:tblPr>
        <w:tblW w:type="dxa" w:w="10800"/>
        <w:tblBorders>
          <w:top w:val="single" w:color="BDBDBD" w:sz="2"/>
          <w:left w:val="single" w:color="BDBDBD" w:sz="2"/>
          <w:bottom w:val="single" w:color="BDBDBD" w:sz="2"/>
          <w:right w:val="single" w:color="BDBDBD" w:sz="2"/>
          <w:insideH w:val="single" w:color="BDBDBD" w:sz="2"/>
          <w:insideV w:val="single" w:color="BDBDBD" w:sz="2"/>
        </w:tblBorders>
      </w:tblPr>
      <w:tblGrid>
        <w:gridCol w:w="2199"/>
        <w:gridCol w:w="8601"/>
      </w:tblGrid>
      <w:tr>
        <w:trPr>
          <w:tblHeader/>
        </w:trPr>
        <w:tc>
          <w:tcPr>
            <w:tcW w:type="dxa" w:w="21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1F3864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CLAVE</w:t>
            </w:r>
          </w:p>
        </w:tc>
        <w:tc>
          <w:tcPr>
            <w:tcW w:type="dxa" w:w="8601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1F3864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QUÉ HACER</w:t>
            </w:r>
          </w:p>
        </w:tc>
      </w:tr>
      <w:tr>
        <w:tc>
          <w:tcPr>
            <w:tcW w:type="dxa" w:w="21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Hinge (min 65–70)</w:t>
            </w:r>
          </w:p>
        </w:tc>
        <w:tc>
          <w:tcPr>
            <w:tcW w:type="dxa" w:w="8601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Correcta: B — proteger no es eliminar demandas: sin límites claros ni objetivos retadores, Sofía queda privada de participación significativa y experiencias de logro (pasos 2, 5 y 6). ≥80% eligió B → avanzar · 50–79% → re-teach 2 min: «al niño que sufre también hay que darle tareas alcanzables donde lograr algo» · &lt;50% → volver a los seis pasos (Diap. 14).</w:t>
            </w:r>
          </w:p>
        </w:tc>
      </w:tr>
      <w:tr>
        <w:tc>
          <w:tcPr>
            <w:tcW w:type="dxa" w:w="21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Frases del aguante (min 21–28)</w:t>
            </w:r>
          </w:p>
        </w:tc>
        <w:tc>
          <w:tcPr>
            <w:tcW w:type="dxa" w:w="8601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«Es re piola, aguanta todo» → soportar no es procesar: obediencia o mutismo por miedo; el costo aparece igual · «Pasa por tantas cosas y ni se entera» → negación/desconexión, no fortaleza. Reformulación meta: resiliente es quien cuenta con vínculos que permiten procesar la adversidad y crecer.</w:t>
            </w:r>
          </w:p>
        </w:tc>
      </w:tr>
      <w:tr>
        <w:tc>
          <w:tcPr>
            <w:tcW w:type="dxa" w:w="21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Taller (orientación)</w:t>
            </w:r>
          </w:p>
        </w:tc>
        <w:tc>
          <w:tcPr>
            <w:tcW w:type="dxa" w:w="8601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Tomás → rutina y vínculo estable: recibirlo por su nombre todos los días (paso 4), desayuno compartido (1), tarea alcanzable desde lo que sí puede (5) · Camila → ritual de separación previsible: misma persona que recibe y avisa qué va a pasar (2), juego para elaborar la ausencia (3), afecto explícito sin retirar demandas (4+5) · Benjamín → participación significativa con baja exigencia verbal: encargos materiales y juego en grupos pequeños (6), celebrar avances específicos ante el grupo (autoestima consistente); nunca etiquetarlo «el que no habla».</w:t>
            </w:r>
          </w:p>
        </w:tc>
      </w:tr>
      <w:tr>
        <w:tc>
          <w:tcPr>
            <w:tcW w:type="dxa" w:w="2199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Seis pasos (chuleta)</w:t>
            </w:r>
          </w:p>
        </w:tc>
        <w:tc>
          <w:tcPr>
            <w:tcW w:type="dxa" w:w="8601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Amortiguar riesgo: 1 vínculos prosociales · 2 límites claros · 3 habilidades para la vida ‖ Favorecer: 4 afecto y apoyo · 5 objetivos retadores · 6 participación significativa. Base permanente de todos: el afecto.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ATAJOS DEL PROYECTOR: </w:t>
      </w:r>
      <w:r>
        <w:rPr>
          <w:rFonts w:ascii="Calibri" w:cs="Calibri" w:eastAsia="Calibri" w:hAnsi="Calibri"/>
          <w:color w:val="222222"/>
          <w:sz w:val="26"/>
          <w:szCs w:val="26"/>
        </w:rPr>
        <w:t xml:space="preserve">Espacio/→ avanzan · ← retrocede · F pantalla completa · N notas · G grilla · B pantalla negra · Esc cierra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Tiempos orientativos: si el taller engancha, recortá la puesta en común (Diap. 16) y retomala al abrir la próxima clase. Basada en: Plan_Clase12_Resiliencia.docx · Clase12_Presentacion_Proyector.html · Material_Lectura_Clase12.pdf</w:t>
      </w:r>
    </w:p>
    <w:sectPr>
      <w:pgSz w:w="16838" w:h="11906" w:orient="landscape"/>
      <w:pgMar w:top="480" w:right="550" w:bottom="400" w:left="5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2026-08-23T02:11:16.845Z</dcterms:created>
  <dcterms:modified xsi:type="dcterms:W3CDTF">2026-08-23T02:11:16.845Z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