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PROFESORADO DE EDUCACIÓN INICIAL — 2° AÑO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Psicología Educacional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Segunda mitad del año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Clase 12 — Resiliencia y escuela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66666"/>
        </w:rPr>
        <w:t xml:space="preserve">«¿Por qué unos chicos salen fortalecidos de la adversidad y otros quedan atrapados en ella? ¿Qué puede hacer la escuela?»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80 minutos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Objetivos de la clase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Comprender la resiliencia como un proceso que se construye en la relación —ni rasgo innato ni destino— y no como una cualidad reservada a «niños especiales».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Distinguir la perspectiva del riesgo (educación compensatoria) del enfoque de la resiliencia, analizando el efecto de cada mirada sobre las expectativas y las prácticas docentes.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Reconocer las cualidades que facilitan la resiliencia (Higgins) y los seis pasos de Henderson y Milstein como marco concreto para fortalecerla desde la escuela.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Vincular los conceptos de la Clase 11 (autoestima, autoeficacia, atribuciones causales) con los factores protectores, y diseñar acciones concretas para el nivel inicial.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Desarrollo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Fase 1: Apertura — Las historias que trajimos (12 min)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Objetivo de la fase: Convertir la experiencia personal de cada estudiante en material de análisis y llegar por vía inductiva a la tesis de la clase: nadie se hace resiliente en soledad.</w:t>
      </w:r>
    </w:p>
    <w:tbl>
      <w:tblPr>
        <w:tblW w:type="dxa" w:w="9072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1800"/>
        <w:gridCol w:w="2200"/>
        <w:gridCol w:w="5072"/>
      </w:tblGrid>
      <w:tr>
        <w:trPr>
          <w:tblHeader/>
        </w:trPr>
        <w:tc>
          <w:tcPr>
            <w:tcW w:type="dxa" w:w="18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22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5072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0–2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Relectura individual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Cada estudiante vuelve sobre su escritura puente de la Clase 11 («alguien que atravesó una época difícil y aun así siguió aprendiendo») y la tiene a mano para trabajar.</w:t>
            </w:r>
          </w:p>
        </w:tc>
      </w:tr>
      <w:tr>
        <w:tc>
          <w:tcPr>
            <w:tcW w:type="dxa" w:w="18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2–8</w:t>
            </w:r>
          </w:p>
        </w:tc>
        <w:tc>
          <w:tcPr>
            <w:tcW w:type="dxa" w:w="22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Intercambio en parejas</w:t>
            </w:r>
          </w:p>
        </w:tc>
        <w:tc>
          <w:tcPr>
            <w:tcW w:type="dxa" w:w="5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Comparten sus historias y responden una única pregunta: ¿qué o quién sostuvo a esa persona mientras atravesaba la dificultad? Cada pareja registra una frase: «lo que la sostuvo fue...».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8–12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Puesta en común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 docente sistematiza en el pizarrón los sostenes emergidos (un vínculo afectivo, una rutina, una oportunidad escolar, un deseo propio). Queda instalada la tesis de la clase: nadie se hace resiliente en soledad.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i/>
          <w:iCs/>
          <w:color w:val="666666"/>
        </w:rPr>
        <w:t xml:space="preserve">Materiales: </w:t>
      </w:r>
      <w:r>
        <w:rPr>
          <w:rFonts w:ascii="Calibri" w:cs="Calibri" w:eastAsia="Calibri" w:hAnsi="Calibri"/>
          <w:i/>
          <w:iCs/>
          <w:color w:val="666666"/>
        </w:rPr>
        <w:t xml:space="preserve">escrituras puente de la Clase 11; diapositivas 3–4 del PPT.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Fase 2: Exploración guiada — El concepto bajo la lupa (28 min)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Objetivo de la fase: Construir el concepto (proceso social, ni rasgo innato ni destino), desarmar temprano el mito del niño «que aguanta todo» y contrastar las dos miradas sobre el mismo alumno.</w:t>
      </w:r>
    </w:p>
    <w:tbl>
      <w:tblPr>
        <w:tblW w:type="dxa" w:w="9072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1800"/>
        <w:gridCol w:w="2200"/>
        <w:gridCol w:w="5072"/>
      </w:tblGrid>
      <w:tr>
        <w:trPr>
          <w:tblHeader/>
        </w:trPr>
        <w:tc>
          <w:tcPr>
            <w:tcW w:type="dxa" w:w="18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22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5072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12–21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¿Qué es la resiliencia?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Uriarte (2005): capacidad de desarrollarse psicológicamente con normalidad pese a vivir en contextos de riesgo. Caso Malala (PPT) como anclaje narrativo. Bisagra: «¿Malala es resiliente porque nació especial o porque algo la sostuvo?» Explicitar la respuesta de Rutter: procesos sociales e intrapsíquicos; ni determinismo genético ni determinismo social.</w:t>
            </w:r>
          </w:p>
        </w:tc>
      </w:tr>
      <w:tr>
        <w:tc>
          <w:tcPr>
            <w:tcW w:type="dxa" w:w="18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21–28</w:t>
            </w:r>
          </w:p>
        </w:tc>
        <w:tc>
          <w:tcPr>
            <w:tcW w:type="dxa" w:w="22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EVALUACIÓN FORMATIVA: Resiliencia no es aguante</w:t>
            </w:r>
          </w:p>
        </w:tc>
        <w:tc>
          <w:tcPr>
            <w:tcW w:type="dxa" w:w="5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Análisis rápido de frases escolares frecuentes («es re piola, aguanta todo», «pasa por tantas cosas y ni se entera»). Identificar el costo invisible del niño que «aguanta» y reformular: resiliente es quien cuenta con vínculos que permiten procesar la adversidad y crecer.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28–40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Dos miradas sobre el mismo alumno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Contraste entre perspectiva del riesgo (educación compensatoria) y enfoque de la resiliencia. Trabajo relámpago por mesa: dadas dos intervenciones docentes reales («este no va a poder nunca» vs. «¿qué le funciona a este chico?»), identificar qué pregunta se hace cada una y qué efecto produce sobre la autoestima del niño. Cierre: factores de riesgo vs. factores protectores y el círculo de las dos miradas.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i/>
          <w:iCs/>
          <w:color w:val="666666"/>
        </w:rPr>
        <w:t xml:space="preserve">Materiales: </w:t>
      </w:r>
      <w:r>
        <w:rPr>
          <w:rFonts w:ascii="Calibri" w:cs="Calibri" w:eastAsia="Calibri" w:hAnsi="Calibri"/>
          <w:i/>
          <w:iCs/>
          <w:color w:val="666666"/>
        </w:rPr>
        <w:t xml:space="preserve">diapositivas 5–11 del PPT (incluye el reveal de Malala y el trabajo relámpago).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Fase 3: Profundización — Construir resiliencia desde el jardín (25 min)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Objetivo de la fase: Apropiarse de un marco concreto de intervención (cualidades + seis pasos) y diseñar entorno para situaciones cotidianas del nivel inicial, deliberadamente «sin diagnóstico».</w:t>
      </w:r>
    </w:p>
    <w:tbl>
      <w:tblPr>
        <w:tblW w:type="dxa" w:w="9072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1800"/>
        <w:gridCol w:w="2200"/>
        <w:gridCol w:w="5072"/>
      </w:tblGrid>
      <w:tr>
        <w:trPr>
          <w:tblHeader/>
        </w:trPr>
        <w:tc>
          <w:tcPr>
            <w:tcW w:type="dxa" w:w="18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22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5072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40–50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Cualidades y seis pasos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Higgins (1994): cualidades que facilitan la resiliencia, conectadas explícitamente con la Clase 11 (autoestima consistente, confianza y autoeficacia, locus de control interno, atribuciones al esfuerzo). Henderson y Milstein (2003): seis pasos para amortiguar factores de riesgo y favorecer la resiliencia. Subrayado: el afecto es el paso más importante y permanente.</w:t>
            </w:r>
          </w:p>
        </w:tc>
      </w:tr>
      <w:tr>
        <w:tc>
          <w:tcPr>
            <w:tcW w:type="dxa" w:w="18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50–60</w:t>
            </w:r>
          </w:p>
        </w:tc>
        <w:tc>
          <w:tcPr>
            <w:tcW w:type="dxa" w:w="22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EVALUACIÓN FORMATIVA: Taller grupal</w:t>
            </w:r>
          </w:p>
        </w:tc>
        <w:tc>
          <w:tcPr>
            <w:tcW w:type="dxa" w:w="5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Cada grupo recibe una situación breve de nivel inicial: (a) Tomás, 5 años, llega tarde casi todos los días y sin desayunar; (b) Camila, 4 años, llora cada mañana en la puerta: su mamá acaba de irse de la casa; (c) Benjamín, 5 años, «el que no habla»: su familia cambió seis veces de barrio en dos años. Cada grupo diseña tres intervenciones concretas apoyadas en los seis pasos e identifica qué factor protector activa cada una.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60–65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Puesta en común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Sistematización de las estrategias en el pizarrón, agrupadas según los seis pasos. La docente destaca cómo cada intervención actúa a la vez sobre el niño y sobre su ambiente.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i/>
          <w:iCs/>
          <w:color w:val="666666"/>
        </w:rPr>
        <w:t xml:space="preserve">Materiales: </w:t>
      </w:r>
      <w:r>
        <w:rPr>
          <w:rFonts w:ascii="Calibri" w:cs="Calibri" w:eastAsia="Calibri" w:hAnsi="Calibri"/>
          <w:i/>
          <w:iCs/>
          <w:color w:val="666666"/>
        </w:rPr>
        <w:t xml:space="preserve">diapositivas 12–16 del PPT; situaciones del taller impresas (una tanda por grupo).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Fase 4: Cierre — Verificar y proyectar (15 min)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Objetivo de la fase: Verificar el error conceptual más frecuente (confundir protección con ausencia de demandas), co-construir la síntesis y trasladar la teoría al proyecto profesional.</w:t>
      </w:r>
    </w:p>
    <w:tbl>
      <w:tblPr>
        <w:tblW w:type="dxa" w:w="9072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1800"/>
        <w:gridCol w:w="2200"/>
        <w:gridCol w:w="5072"/>
      </w:tblGrid>
      <w:tr>
        <w:trPr>
          <w:tblHeader/>
        </w:trPr>
        <w:tc>
          <w:tcPr>
            <w:tcW w:type="dxa" w:w="18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22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5072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65–70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EVALUACIÓN FORMATIVA: Hinge question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Sofía (5 años) atraviesa un año familiar muy difícil. Su docente decide «no exigirle nada» y retirarle todas las demandas porque «está sufriendo mucho». ¿Qué concepto trabajado hoy permite problematizar mejor esta decisión? A) Es correcto: ante el sufrimiento hay que eliminar toda demanda · B) Sin límites claros ni objetivos retadores, esa «protección» priva a Sofía de participación significativa y experiencias de logro: los seis pasos piden afecto y desafíos alcanzables · C) La resiliencia es innata y no requiere intervención · D) Son cuestiones exclusivamente familiares. Votación rápida, discusión breve y devolución.</w:t>
            </w:r>
          </w:p>
        </w:tc>
      </w:tr>
      <w:tr>
        <w:tc>
          <w:tcPr>
            <w:tcW w:type="dxa" w:w="18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70–75</w:t>
            </w:r>
          </w:p>
        </w:tc>
        <w:tc>
          <w:tcPr>
            <w:tcW w:type="dxa" w:w="22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Síntesis co-construida</w:t>
            </w:r>
          </w:p>
        </w:tc>
        <w:tc>
          <w:tcPr>
            <w:tcW w:type="dxa" w:w="5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Reconstrucción en el pizarrón del esquema riesgo → factores protectores → resiliencia, con ejemplos aportados por las estudiantes a partir del taller.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75–80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Consigna puente</w:t>
            </w:r>
          </w:p>
        </w:tc>
        <w:tc>
          <w:tcPr>
            <w:tcW w:type="dxa" w:w="5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«Mirá tu futura sala. Escribí dos gestos concretos que vas a incorporar a tu trato diario con los chicos para construir resiliencia, y a cuál de los seis pasos corresponde cada uno.» Escritura breve (½ carilla) que abriremos en la próxima clase. Gancho final: «para bien o para mal estamos modelados por el trato y las miradas de los demás» (Cyrulnik).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i/>
          <w:iCs/>
          <w:color w:val="666666"/>
        </w:rPr>
        <w:t xml:space="preserve">Materiales: </w:t>
      </w:r>
      <w:r>
        <w:rPr>
          <w:rFonts w:ascii="Calibri" w:cs="Calibri" w:eastAsia="Calibri" w:hAnsi="Calibri"/>
          <w:i/>
          <w:iCs/>
          <w:color w:val="666666"/>
        </w:rPr>
        <w:t xml:space="preserve">diapositivas 17–19 del PPT; hojas para escritura.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Materiales necesarios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Presentación de la Clase 12 (proyector o pizarrón): 19 diapositivas, con momentos interactivos.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Material de lectura Clase 12 (PDF/HTML, publicado previamente en Classroom).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Situaciones del taller grupal (impresas, una tanda por grupo).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Pizarrón o papel afiche para la sistematización.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Escrituras puente de la Clase 11 (traídas por las estudiantes).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Hojas para la escritura final.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Evaluación formativa</w:t>
      </w:r>
    </w:p>
    <w:p>
      <w:pPr>
        <w:spacing w:after="100"/>
      </w:pPr>
      <w:r>
        <w:rPr>
          <w:rFonts w:ascii="Calibri" w:cs="Calibri" w:eastAsia="Calibri" w:hAnsi="Calibri"/>
        </w:rPr>
        <w:t xml:space="preserve">Momentos de verificación integrados al desarrollo de la clase:</w:t>
      </w:r>
    </w:p>
    <w:tbl>
      <w:tblPr>
        <w:tblW w:type="dxa" w:w="9072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2500"/>
        <w:gridCol w:w="2500"/>
        <w:gridCol w:w="4072"/>
      </w:tblGrid>
      <w:tr>
        <w:trPr>
          <w:tblHeader/>
        </w:trPr>
        <w:tc>
          <w:tcPr>
            <w:tcW w:type="dxa" w:w="25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dxa" w:w="2500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Técnica</w:t>
            </w:r>
          </w:p>
        </w:tc>
        <w:tc>
          <w:tcPr>
            <w:tcW w:type="dxa" w:w="4072"/>
            <w:shd w:fill="1E3A5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Qué evalúa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 2–8 (parejas)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Frase-registro «lo que la sostuvo fue...»</w:t>
            </w:r>
          </w:p>
        </w:tc>
        <w:tc>
          <w:tcPr>
            <w:tcW w:type="dxa" w:w="4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¿Identifican sostenes (vínculos, rutinas, oportunidades) y no solo atributos individuales?</w:t>
            </w:r>
          </w:p>
        </w:tc>
      </w:tr>
      <w:tr>
        <w:tc>
          <w:tcPr>
            <w:tcW w:type="dxa" w:w="25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 21–28 (frases del aguante)</w:t>
            </w:r>
          </w:p>
        </w:tc>
        <w:tc>
          <w:tcPr>
            <w:tcW w:type="dxa" w:w="25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Reformulación argumentada</w:t>
            </w:r>
          </w:p>
        </w:tc>
        <w:tc>
          <w:tcPr>
            <w:tcW w:type="dxa" w:w="4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¿Distinguen aguante silencioso de procesamiento de la adversidad?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 28–40 (dos miradas)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Análisis relámpago en mesas</w:t>
            </w:r>
          </w:p>
        </w:tc>
        <w:tc>
          <w:tcPr>
            <w:tcW w:type="dxa" w:w="4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¿Reconocen qué pregunta hace cada mirada y qué efecto produce sobre la autoestima?</w:t>
            </w:r>
          </w:p>
        </w:tc>
      </w:tr>
      <w:tr>
        <w:tc>
          <w:tcPr>
            <w:tcW w:type="dxa" w:w="25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 50–60 (taller)</w:t>
            </w:r>
          </w:p>
        </w:tc>
        <w:tc>
          <w:tcPr>
            <w:tcW w:type="dxa" w:w="2500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Diseño escrito por grupo</w:t>
            </w:r>
          </w:p>
        </w:tc>
        <w:tc>
          <w:tcPr>
            <w:tcW w:type="dxa" w:w="4072"/>
            <w:shd w:fill="E8F0FE" w:val="clear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¿Aplican los seis pasos y nombran el factor protector activado por cada intervención?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 65–70 (hinge question)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Voto con dedos (A–D)</w:t>
            </w:r>
          </w:p>
        </w:tc>
        <w:tc>
          <w:tcPr>
            <w:tcW w:type="dxa" w:w="4072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¿Comprenden que proteger no es eliminar demandas?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Para la próxima clase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Consigna puente: </w:t>
      </w:r>
      <w:r>
        <w:rPr>
          <w:rFonts w:ascii="Calibri" w:cs="Calibri" w:eastAsia="Calibri" w:hAnsi="Calibri"/>
        </w:rPr>
        <w:t xml:space="preserve">«Mirá tu futura sala. Escribí dos gestos concretos que vas a incorporar a tu trato diario con los chicos para construir resiliencia, y a cuál de los seis pasos corresponde cada uno.»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</w:rPr>
        <w:t xml:space="preserve">½ carilla; la escritura abre la próxima clase.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666666"/>
        </w:rPr>
        <w:t xml:space="preserve">Nota de recorte didáctico: </w:t>
      </w:r>
      <w:r>
        <w:rPr>
          <w:rFonts w:ascii="Calibri" w:cs="Calibri" w:eastAsia="Calibri" w:hAnsi="Calibri"/>
          <w:i/>
          <w:iCs/>
          <w:color w:val="666666"/>
        </w:rPr>
        <w:t xml:space="preserve">el artículo de Uriarte (2006) incluye también la discusión sobre fracaso escolar y educabilidad, que este programa reserva íntegramente para la Unidad IV (Clase 14), articulada con Terigi (2009) y Baquero (2001). Aquí se privilegia el Uriarte pedagógico-institucional. La autoestima de la Clase 11 reaparece como factor protector y los conceptos de motivación vuelven dentro de las cualidades (locus interno, atribuciones al esfuerzo): conviene explicitar esa continuidad durante la Fase 3.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Cyrulnik, B. (2002). Los patitos feos: la resiliencia, una infancia infeliz y otras superaciones. Barcelona: Gedisa.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Grotberg, E. (1995). A guide to promoting resilience in children: strengthening the human spirit. La Haya: Bernard van Leer Foundation.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Henderson, N. y Milstein, M. (2003). Resiliencia en la escuela. Buenos Aires: Paidós.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Higgins, G. O. (1994). Resilient adults: overcoming a cruel past. San Francisco: Jossey-Bass.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Rutter, M. (1990). Psychosocial resilience and protective mechanisms. En J. Rolf, A. Masten, D. Cicchetti, K. Nuechterlein y S. Weintraub (comps.), Risk and protective factors in the development of psychopathology. Cambridge: Cambridge University Press.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Uriarte, J. D. (2005). La resiliencia: una nueva perspectiva en psicopatología del desarrollo. Revista de Psicodidáctica, 20, 61–68.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Uriarte, J. D. (2006). Construyendo la resiliencia en la escuela. Revista Iberoamericana de Educación, 40(1), 83–104.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2026-08-23T02:11:16.808Z</dcterms:created>
  <dcterms:modified xsi:type="dcterms:W3CDTF">2026-08-23T02:11:16.809Z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