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6B7280"/>
          <w:sz w:val="22"/>
          <w:szCs w:val="22"/>
        </w:rPr>
        <w:t xml:space="preserve">PROFESORADO DE EDUCACIÓN INICIAL · 2° AÑO</w:t>
      </w:r>
    </w:p>
    <w:p>
      <w:pPr>
        <w:spacing w:after="80"/>
      </w:pPr>
      <w:r>
        <w:rPr>
          <w:rFonts w:ascii="Calibri" w:cs="Calibri" w:eastAsia="Calibri" w:hAnsi="Calibri"/>
          <w:b/>
          <w:bCs/>
          <w:color w:val="22334D"/>
          <w:sz w:val="40"/>
          <w:szCs w:val="40"/>
        </w:rPr>
        <w:t xml:space="preserve">Psicología Educacional</w:t>
      </w:r>
    </w:p>
    <w:p>
      <w:pPr>
        <w:spacing w:after="300"/>
      </w:pPr>
      <w:r>
        <w:rPr>
          <w:rFonts w:ascii="Calibri" w:cs="Calibri" w:eastAsia="Calibri" w:hAnsi="Calibri"/>
          <w:b/>
          <w:bCs/>
          <w:color w:val="C4633E"/>
          <w:sz w:val="26"/>
          <w:szCs w:val="26"/>
        </w:rPr>
        <w:t xml:space="preserve">Material de lectura · Clase 14</w:t>
      </w:r>
    </w:p>
    <w:p>
      <w:pPr>
        <w:spacing w:after="20"/>
      </w:pPr>
      <w:r>
        <w:rPr>
          <w:rFonts w:ascii="Calibri" w:cs="Calibri" w:eastAsia="Calibri" w:hAnsi="Calibri"/>
          <w:b/>
          <w:bCs/>
          <w:color w:val="22334D"/>
          <w:sz w:val="52"/>
          <w:szCs w:val="52"/>
        </w:rPr>
        <w:t xml:space="preserve">Fracaso escolar</w:t>
      </w:r>
    </w:p>
    <w:p>
      <w:pPr>
        <w:spacing w:after="240"/>
      </w:pPr>
      <w:r>
        <w:rPr>
          <w:rFonts w:ascii="Calibri" w:cs="Calibri" w:eastAsia="Calibri" w:hAnsi="Calibri"/>
          <w:b/>
          <w:bCs/>
          <w:color w:val="C4633E"/>
          <w:sz w:val="52"/>
          <w:szCs w:val="52"/>
        </w:rPr>
        <w:t xml:space="preserve">y educabilidad</w:t>
      </w:r>
    </w:p>
    <w:p>
      <w:pPr>
        <w:spacing w:after="260"/>
      </w:pPr>
      <w:r>
        <w:rPr>
          <w:rFonts w:ascii="Calibri" w:cs="Calibri" w:eastAsia="Calibri" w:hAnsi="Calibri"/>
          <w:i/>
          <w:iCs/>
          <w:color w:val="2A3547"/>
          <w:sz w:val="25"/>
          <w:szCs w:val="25"/>
        </w:rPr>
        <w:t xml:space="preserve">«¿Dónde está el problema cuando un chico “fracasa”: en él, o en la situación escolar que le ofrecemos?»</w:t>
      </w:r>
    </w:p>
    <w:p>
      <w:pPr>
        <w:spacing w:after="200"/>
      </w:pPr>
      <w:r>
        <w:rPr>
          <w:rFonts w:ascii="Calibri" w:cs="Calibri" w:eastAsia="Calibri" w:hAnsi="Calibri"/>
          <w:sz w:val="23"/>
          <w:szCs w:val="23"/>
        </w:rPr>
        <w:t xml:space="preserve">Este material cierra la secuencia motivación–resiliencia–creatividad y abre la Unidad IV. Trabaja el desplazamiento conceptual más importante de la materia: dejar de explicar el fracaso escolar como atributo de los alumnos para comprenderlo como producción de las situaciones escolares, siguiendo a Terigi (2009) y Baquero (2001).</w:t>
      </w:r>
    </w:p>
    <w:p>
      <w:r>
        <w:rPr>
          <w:rFonts w:ascii="Calibri" w:cs="Calibri" w:eastAsia="Calibri" w:hAnsi="Calibri"/>
          <w:i/>
          <w:iCs/>
          <w:color w:val="6B7280"/>
          <w:sz w:val="19"/>
          <w:szCs w:val="19"/>
        </w:rPr>
        <w:t xml:space="preserve">Referencias: Terigi (2009) · Baquero (2001) · Guerrero Ortiz (1999) · Toscano et al. (2008)</w:t>
      </w:r>
    </w:p>
    <w:p>
      <w:pPr>
        <w:spacing w:after="120" w:before="400"/>
      </w:pPr>
      <w:r>
        <w:rPr>
          <w:rFonts w:ascii="Calibri" w:cs="Calibri" w:eastAsia="Calibri" w:hAnsi="Calibri"/>
          <w:b/>
          <w:bCs/>
          <w:color w:val="C4633E"/>
          <w:sz w:val="28"/>
          <w:szCs w:val="28"/>
        </w:rPr>
        <w:t xml:space="preserve">1. El invento del «alumno que fracasa»</w:t>
      </w:r>
    </w:p>
    <w:p>
      <w:pPr>
        <w:spacing w:after="140"/>
      </w:pPr>
      <w:r>
        <w:rPr>
          <w:rFonts w:ascii="Calibri" w:cs="Calibri" w:eastAsia="Calibri" w:hAnsi="Calibri"/>
          <w:sz w:val="22"/>
          <w:szCs w:val="22"/>
        </w:rPr>
        <w:t xml:space="preserve">Parece obvio decir que hay chicos que «fracasan» en la escuela. Pero el fracaso escolar no existió siempre: es un concepto histórico, tan joven como la escuela masiva. Mientras la escolarización fue un privilegio de pocos, quien abandonaba sencillamente quedaba afuera: no había nada contra lo cual fallar. El «alumno que no aprende» aparece como problema público recién cuando la escuela primaria se vuelve obligatoria y gratuita y se propone enseñar a todos — y rendir cuentas por todos.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D9A441" w:sz="6"/>
              <w:left w:val="single" w:color="D9A441" w:sz="24"/>
              <w:bottom w:val="single" w:color="D9A441" w:sz="6"/>
              <w:right w:val="single" w:color="D9A441" w:sz="6"/>
            </w:tcBorders>
            <w:shd w:fill="FDFAF3" w:val="clear"/>
            <w:tcMar>
              <w:top w:type="dxa" w:w="160"/>
              <w:left w:type="dxa" w:w="220"/>
              <w:bottom w:type="dxa" w:w="180"/>
              <w:right w:type="dxa" w:w="220"/>
            </w:tcMar>
          </w:tcPr>
          <w:p>
            <w:pPr>
              <w:spacing w:after="100"/>
            </w:pPr>
            <w:r>
              <w:rPr>
                <w:rFonts w:ascii="Calibri" w:cs="Calibri" w:eastAsia="Calibri" w:hAnsi="Calibri"/>
                <w:b/>
                <w:bCs/>
                <w:color w:val="C4633E"/>
                <w:sz w:val="21"/>
                <w:szCs w:val="21"/>
              </w:rPr>
              <w:t xml:space="preserve">LA ESCUELA QUE SE HACE OBLIGATORIA</w:t>
            </w:r>
          </w:p>
          <w:p>
            <w:pPr>
              <w:spacing w:after="100"/>
            </w:pPr>
            <w:r>
              <w:rPr>
                <w:rFonts w:ascii="Calibri" w:cs="Calibri" w:eastAsia="Calibri" w:hAnsi="Calibri"/>
                <w:sz w:val="21"/>
                <w:szCs w:val="21"/>
              </w:rPr>
              <w:t xml:space="preserve">En Argentina, la Ley 1420 (1884) estableció la escuela primaria pública, gratuita, obligatoria y mixta. En pocas décadas el sistema incorporó a millones de hijos de inmigrantes. Con la promesa de educar a todos apareció también, por primera vez, la figura del alumno al que «no se le puede enseñar»: el rendimiento dejó de ser opcional.</w:t>
            </w:r>
          </w:p>
        </w:tc>
      </w:tr>
    </w:tbl>
    <w:p>
      <w:pPr>
        <w:spacing w:after="140"/>
      </w:pPr>
      <w:r>
        <w:rPr>
          <w:rFonts w:ascii="Calibri" w:cs="Calibri" w:eastAsia="Calibri" w:hAnsi="Calibri"/>
          <w:sz w:val="2"/>
          <w:szCs w:val="2"/>
        </w:rPr>
        <w:t xml:space="preserve"> </w:t>
      </w:r>
    </w:p>
    <w:p>
      <w:pPr>
        <w:spacing w:after="140"/>
      </w:pPr>
      <w:r>
        <w:rPr>
          <w:rFonts w:ascii="Calibri" w:cs="Calibri" w:eastAsia="Calibri" w:hAnsi="Calibri"/>
          <w:sz w:val="22"/>
          <w:szCs w:val="22"/>
        </w:rPr>
        <w:t xml:space="preserve">La primera respuesta institucional ante esos alumnos fue buscar la causa </w:t>
      </w:r>
      <w:r>
        <w:rPr>
          <w:rFonts w:ascii="Calibri" w:cs="Calibri" w:eastAsia="Calibri" w:hAnsi="Calibri"/>
          <w:b/>
          <w:bCs/>
          <w:sz w:val="22"/>
          <w:szCs w:val="22"/>
        </w:rPr>
        <w:t xml:space="preserve">dentro del niño</w:t>
      </w:r>
      <w:r>
        <w:rPr>
          <w:rFonts w:ascii="Calibri" w:cs="Calibri" w:eastAsia="Calibri" w:hAnsi="Calibri"/>
          <w:sz w:val="22"/>
          <w:szCs w:val="22"/>
        </w:rPr>
        <w:t xml:space="preserve">: medir capacidades, clasificar, tratar. Nació así una tradición que hoy llamamos modelo del déficit: si un chico no aprende, el problema está en sus capacidades, en su hogar o en su cultura. La escuela queda afuera de la explicación — es el marco neutro donde cada quien muestra lo que trae.</w:t>
      </w:r>
    </w:p>
    <w:p>
      <w:pPr>
        <w:spacing w:after="60" w:before="200"/>
        <w:jc w:val="center"/>
      </w:pPr>
      <w:r>
        <w:rPr>
          <w:rFonts w:ascii="Calibri" w:cs="Calibri" w:eastAsia="Calibri" w:hAnsi="Calibri"/>
          <w:i/>
          <w:iCs/>
          <w:color w:val="6B7280"/>
          <w:sz w:val="18"/>
          <w:szCs w:val="18"/>
        </w:rPr>
        <w:t xml:space="preserve">Psicología Educacional · Material de lectura · Clase 14 — Fracaso escolar y educabilidad</w:t>
      </w:r>
    </w:p>
    <w:p>
      <w:pPr>
        <w:spacing w:after="120" w:before="200"/>
      </w:pPr>
      <w:r>
        <w:rPr>
          <w:rFonts w:ascii="Calibri" w:cs="Calibri" w:eastAsia="Calibri" w:hAnsi="Calibri"/>
          <w:b/>
          <w:bCs/>
          <w:color w:val="C4633E"/>
          <w:sz w:val="28"/>
          <w:szCs w:val="28"/>
        </w:rPr>
        <w:t xml:space="preserve">2. Cuando el fracaso se vuelve masivo (Terigi)</w:t>
      </w:r>
    </w:p>
    <w:p>
      <w:pPr>
        <w:spacing w:after="140"/>
      </w:pPr>
      <w:r>
        <w:rPr>
          <w:rFonts w:ascii="Calibri" w:cs="Calibri" w:eastAsia="Calibri" w:hAnsi="Calibri"/>
          <w:sz w:val="22"/>
          <w:szCs w:val="22"/>
        </w:rPr>
        <w:t xml:space="preserve">Flavia Terigi (2009) marca el punto de giro: cuando el fracaso dejó de ser excepcional y se volvió </w:t>
      </w:r>
      <w:r>
        <w:rPr>
          <w:rFonts w:ascii="Calibri" w:cs="Calibri" w:eastAsia="Calibri" w:hAnsi="Calibri"/>
          <w:b/>
          <w:bCs/>
          <w:sz w:val="22"/>
          <w:szCs w:val="22"/>
        </w:rPr>
        <w:t xml:space="preserve">masivo</w:t>
      </w:r>
      <w:r>
        <w:rPr>
          <w:rFonts w:ascii="Calibri" w:cs="Calibri" w:eastAsia="Calibri" w:hAnsi="Calibri"/>
          <w:sz w:val="22"/>
          <w:szCs w:val="22"/>
        </w:rPr>
        <w:t xml:space="preserve">, ya no pudo seguir explicándose como suma de casos individuales. Si «fallan» muchos alumnos —y sobre todo, si fallan sistemáticamente los mismos sectores sociales— la variable explicativa tiene que estar en otra parte: en la escolaridad misma. El cambio es de unidad de análisis: dejamos de mirar atributos del alumno y empezamos a mirar cómo enseña (y cómo excluye) la escuela.</w:t>
      </w:r>
    </w:p>
    <w:p>
      <w:pPr>
        <w:spacing w:after="140"/>
      </w:pPr>
      <w:r>
        <w:rPr>
          <w:rFonts w:ascii="Calibri" w:cs="Calibri" w:eastAsia="Calibri" w:hAnsi="Calibri"/>
          <w:sz w:val="22"/>
          <w:szCs w:val="22"/>
        </w:rPr>
        <w:t xml:space="preserve">Terigi distingue además las </w:t>
      </w:r>
      <w:r>
        <w:rPr>
          <w:rFonts w:ascii="Calibri" w:cs="Calibri" w:eastAsia="Calibri" w:hAnsi="Calibri"/>
          <w:b/>
          <w:bCs/>
          <w:sz w:val="22"/>
          <w:szCs w:val="22"/>
        </w:rPr>
        <w:t xml:space="preserve">trayectorias teóricas</w:t>
      </w:r>
      <w:r>
        <w:rPr>
          <w:rFonts w:ascii="Calibri" w:cs="Calibri" w:eastAsia="Calibri" w:hAnsi="Calibri"/>
          <w:sz w:val="22"/>
          <w:szCs w:val="22"/>
        </w:rPr>
        <w:t xml:space="preserve"> —el recorrido idealizado que el sistema supone (un año por grado, sin interrupciones)— de las </w:t>
      </w:r>
      <w:r>
        <w:rPr>
          <w:rFonts w:ascii="Calibri" w:cs="Calibri" w:eastAsia="Calibri" w:hAnsi="Calibri"/>
          <w:b/>
          <w:bCs/>
          <w:sz w:val="22"/>
          <w:szCs w:val="22"/>
        </w:rPr>
        <w:t xml:space="preserve">trayectorias reales</w:t>
      </w:r>
      <w:r>
        <w:rPr>
          <w:rFonts w:ascii="Calibri" w:cs="Calibri" w:eastAsia="Calibri" w:hAnsi="Calibri"/>
          <w:sz w:val="22"/>
          <w:szCs w:val="22"/>
        </w:rPr>
        <w:t xml:space="preserve">, atravesadas por repeticiones, mudanzas, trabajos, cuidados de hermanos. Entre ambas media todo un dispositivo institucional que filtra: la repetencia, la sobreedad y el abandono son las vías por las que el sistema va «acomodando» a algunos chicos hacia afuera, muchas veces sin expulsarlos formalmente.</w:t>
      </w:r>
    </w:p>
    <w:p>
      <w:pPr>
        <w:spacing w:after="140"/>
      </w:pPr>
      <w:r>
        <w:rPr>
          <w:rFonts w:ascii="Calibri" w:cs="Calibri" w:eastAsia="Calibri" w:hAnsi="Calibri"/>
          <w:sz w:val="22"/>
          <w:szCs w:val="22"/>
        </w:rPr>
        <w:t xml:space="preserve">El dato incómodo: ese filtrado no se distribuye al azar. El fracaso se concentra donde también se concentran la pobreza y las peores condiciones laborales docentes. Un fenómeno socialmente distribuido de manera tan regular difícilmente pueda explicarse por capacidades individuales azarosas.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D9A441" w:sz="6"/>
              <w:left w:val="single" w:color="D9A441" w:sz="24"/>
              <w:bottom w:val="single" w:color="D9A441" w:sz="6"/>
              <w:right w:val="single" w:color="D9A441" w:sz="6"/>
            </w:tcBorders>
            <w:shd w:fill="FDFAF3" w:val="clear"/>
            <w:tcMar>
              <w:top w:type="dxa" w:w="160"/>
              <w:left w:type="dxa" w:w="220"/>
              <w:bottom w:type="dxa" w:w="180"/>
              <w:right w:type="dxa" w:w="220"/>
            </w:tcMar>
          </w:tcPr>
          <w:p>
            <w:pPr>
              <w:spacing w:after="100"/>
            </w:pPr>
            <w:r>
              <w:rPr>
                <w:rFonts w:ascii="Calibri" w:cs="Calibri" w:eastAsia="Calibri" w:hAnsi="Calibri"/>
                <w:b/>
                <w:bCs/>
                <w:color w:val="C4633E"/>
                <w:sz w:val="21"/>
                <w:szCs w:val="21"/>
              </w:rPr>
              <w:t xml:space="preserve">TERIGI, EN UNA FRASE</w:t>
            </w:r>
          </w:p>
          <w:p>
            <w:pPr>
              <w:spacing w:after="100"/>
            </w:pPr>
            <w:r>
              <w:rPr>
                <w:rFonts w:ascii="Calibri" w:cs="Calibri" w:eastAsia="Calibri" w:hAnsi="Calibri"/>
                <w:sz w:val="21"/>
                <w:szCs w:val="21"/>
              </w:rPr>
              <w:t xml:space="preserve">«El fracaso escolar no es un atributo de los alumnos: es un problema de la escolaridad.» La frase condensa el desplazamiento de toda esta clase: no negamos las dificultades de aprendizaje, cambiamos el lugar donde buscamos su explicación y su solución.</w:t>
            </w:r>
          </w:p>
        </w:tc>
      </w:tr>
    </w:tbl>
    <w:p>
      <w:pPr>
        <w:spacing w:after="140"/>
      </w:pPr>
      <w:r>
        <w:rPr>
          <w:rFonts w:ascii="Calibri" w:cs="Calibri" w:eastAsia="Calibri" w:hAnsi="Calibri"/>
          <w:sz w:val="2"/>
          <w:szCs w:val="2"/>
        </w:rPr>
        <w:t xml:space="preserve"> </w:t>
      </w:r>
    </w:p>
    <w:p>
      <w:pPr>
        <w:spacing w:after="60" w:before="200"/>
        <w:jc w:val="center"/>
      </w:pPr>
      <w:r>
        <w:rPr>
          <w:rFonts w:ascii="Calibri" w:cs="Calibri" w:eastAsia="Calibri" w:hAnsi="Calibri"/>
          <w:i/>
          <w:iCs/>
          <w:color w:val="6B7280"/>
          <w:sz w:val="18"/>
          <w:szCs w:val="18"/>
        </w:rPr>
        <w:t xml:space="preserve">Psicología Educacional · Material de lectura · Clase 14 — Fracaso escolar y educabilidad</w:t>
      </w:r>
    </w:p>
    <w:p>
      <w:pPr>
        <w:spacing w:after="120" w:before="200"/>
      </w:pPr>
      <w:r>
        <w:rPr>
          <w:rFonts w:ascii="Calibri" w:cs="Calibri" w:eastAsia="Calibri" w:hAnsi="Calibri"/>
          <w:b/>
          <w:bCs/>
          <w:color w:val="C4633E"/>
          <w:sz w:val="28"/>
          <w:szCs w:val="28"/>
        </w:rPr>
        <w:t xml:space="preserve">3. Las sospechas sobre la educabilidad</w:t>
      </w:r>
    </w:p>
    <w:p>
      <w:pPr>
        <w:spacing w:after="140"/>
      </w:pPr>
      <w:r>
        <w:rPr>
          <w:rFonts w:ascii="Calibri" w:cs="Calibri" w:eastAsia="Calibri" w:hAnsi="Calibri"/>
          <w:sz w:val="22"/>
          <w:szCs w:val="22"/>
        </w:rPr>
        <w:t xml:space="preserve">Junto con la masificación creció un discurso que Baquero llama «la educabilidad bajo sospecha»: la idea difundida —en salas de profesores, informes y sentidos comunes— de que los chicos de sectores populares tendrían capacidades disminuidas, carencias lingüísticas o culturales que los harían «difíciles de educar». Teorías como la de la «cultura de la pobreza» naturalizaron esa supuesta carencia: como si el problema viniera de fábrica.</w:t>
      </w:r>
    </w:p>
    <w:p>
      <w:pPr>
        <w:spacing w:after="80"/>
      </w:pPr>
      <w:r>
        <w:rPr>
          <w:rFonts w:ascii="Calibri" w:cs="Calibri" w:eastAsia="Calibri" w:hAnsi="Calibri"/>
          <w:sz w:val="22"/>
          <w:szCs w:val="22"/>
        </w:rPr>
        <w:t xml:space="preserve">Lo grave no es solo la injusticia del diagnóstico: es su </w:t>
      </w:r>
      <w:r>
        <w:rPr>
          <w:rFonts w:ascii="Calibri" w:cs="Calibri" w:eastAsia="Calibri" w:hAnsi="Calibri"/>
          <w:b/>
          <w:bCs/>
          <w:sz w:val="22"/>
          <w:szCs w:val="22"/>
        </w:rPr>
        <w:t xml:space="preserve">efecto performativo</w:t>
      </w:r>
      <w:r>
        <w:rPr>
          <w:rFonts w:ascii="Calibri" w:cs="Calibri" w:eastAsia="Calibri" w:hAnsi="Calibri"/>
          <w:sz w:val="22"/>
          <w:szCs w:val="22"/>
        </w:rPr>
        <w:t xml:space="preserve">. Una sospecha instalada organiza prácticas:</w:t>
      </w:r>
    </w:p>
    <w:p>
      <w:pPr>
        <w:spacing w:after="120"/>
        <w:ind w:left="340"/>
      </w:pPr>
      <w:r>
        <w:rPr>
          <w:rFonts w:ascii="Calibri" w:cs="Calibri" w:eastAsia="Calibri" w:hAnsi="Calibri"/>
          <w:b/>
          <w:bCs/>
          <w:color w:val="22334D"/>
          <w:sz w:val="22"/>
          <w:szCs w:val="22"/>
        </w:rPr>
        <w:t xml:space="preserve">sospecha → expectativas bajas → menos desafíos, menos oportunidades, menos tiempo de espera → resultados pobres → “está demostrado: no podía”.</w:t>
      </w:r>
    </w:p>
    <w:p>
      <w:pPr>
        <w:spacing w:after="140"/>
      </w:pPr>
      <w:r>
        <w:rPr>
          <w:rFonts w:ascii="Calibri" w:cs="Calibri" w:eastAsia="Calibri" w:hAnsi="Calibri"/>
          <w:sz w:val="22"/>
          <w:szCs w:val="22"/>
        </w:rPr>
        <w:t xml:space="preserve">Reconocé el circuito: es exactamente el círculo vicioso motivación–logro–reconocimiento–autoestima de la Clase 11 y el efecto Pygmalión en versión colectiva. Lo que la sospecha predice, la propia práctica lo fabrica. Y después lee el resultado como prueba original. Eso significa naturalizar: presentar como naturaleza («este chico no puede») aquello que la situación produjo.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D9A441" w:sz="6"/>
              <w:left w:val="single" w:color="D9A441" w:sz="24"/>
              <w:bottom w:val="single" w:color="D9A441" w:sz="6"/>
              <w:right w:val="single" w:color="D9A441" w:sz="6"/>
            </w:tcBorders>
            <w:shd w:fill="FDFAF3" w:val="clear"/>
            <w:tcMar>
              <w:top w:type="dxa" w:w="160"/>
              <w:left w:type="dxa" w:w="220"/>
              <w:bottom w:type="dxa" w:w="180"/>
              <w:right w:type="dxa" w:w="220"/>
            </w:tcMar>
          </w:tcPr>
          <w:p>
            <w:pPr>
              <w:spacing w:after="100"/>
            </w:pPr>
            <w:r>
              <w:rPr>
                <w:rFonts w:ascii="Calibri" w:cs="Calibri" w:eastAsia="Calibri" w:hAnsi="Calibri"/>
                <w:b/>
                <w:bCs/>
                <w:color w:val="C4633E"/>
                <w:sz w:val="21"/>
                <w:szCs w:val="21"/>
              </w:rPr>
              <w:t xml:space="preserve">EL CÍRCULO DE LA SOSPECHA</w:t>
            </w:r>
          </w:p>
          <w:p>
            <w:pPr>
              <w:spacing w:after="100"/>
            </w:pPr>
            <w:r>
              <w:rPr>
                <w:rFonts w:ascii="Calibri" w:cs="Calibri" w:eastAsia="Calibri" w:hAnsi="Calibri"/>
                <w:sz w:val="21"/>
                <w:szCs w:val="21"/>
              </w:rPr>
              <w:t xml:space="preserve">1. Etiqueta inicial: «estos chicos vienen con carencias».</w:t>
            </w:r>
          </w:p>
          <w:p>
            <w:pPr>
              <w:spacing w:after="100"/>
            </w:pPr>
            <w:r>
              <w:rPr>
                <w:rFonts w:ascii="Calibri" w:cs="Calibri" w:eastAsia="Calibri" w:hAnsi="Calibri"/>
                <w:sz w:val="21"/>
                <w:szCs w:val="21"/>
              </w:rPr>
              <w:t xml:space="preserve">2. Práctica ajustada a la etiqueta: consignas simplificadas, menos preguntas abiertas, menos proyectos largos.</w:t>
            </w:r>
          </w:p>
          <w:p>
            <w:pPr>
              <w:spacing w:after="100"/>
            </w:pPr>
            <w:r>
              <w:rPr>
                <w:rFonts w:ascii="Calibri" w:cs="Calibri" w:eastAsia="Calibri" w:hAnsi="Calibri"/>
                <w:sz w:val="21"/>
                <w:szCs w:val="21"/>
              </w:rPr>
              <w:t xml:space="preserve">3. Resultado previsible: aprenden menos de lo que podrían aprender.</w:t>
            </w:r>
          </w:p>
          <w:p>
            <w:pPr>
              <w:spacing w:after="100"/>
            </w:pPr>
            <w:r>
              <w:rPr>
                <w:rFonts w:ascii="Calibri" w:cs="Calibri" w:eastAsia="Calibri" w:hAnsi="Calibri"/>
                <w:sz w:val="21"/>
                <w:szCs w:val="21"/>
              </w:rPr>
              <w:t xml:space="preserve">4. Confirmación: «se ve que no podían». Volver al paso 1, ahora con evidencia.</w:t>
            </w:r>
          </w:p>
        </w:tc>
      </w:tr>
    </w:tbl>
    <w:p>
      <w:pPr>
        <w:spacing w:after="140"/>
      </w:pPr>
      <w:r>
        <w:rPr>
          <w:rFonts w:ascii="Calibri" w:cs="Calibri" w:eastAsia="Calibri" w:hAnsi="Calibri"/>
          <w:sz w:val="2"/>
          <w:szCs w:val="2"/>
        </w:rPr>
        <w:t xml:space="preserve"> </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5A6440" w:sz="6"/>
              <w:left w:val="single" w:color="5A6440" w:sz="24"/>
              <w:bottom w:val="single" w:color="5A6440" w:sz="6"/>
              <w:right w:val="single" w:color="5A6440" w:sz="6"/>
            </w:tcBorders>
            <w:shd w:fill="E3E6CF" w:val="clear"/>
            <w:tcMar>
              <w:top w:type="dxa" w:w="160"/>
              <w:left w:type="dxa" w:w="220"/>
              <w:bottom w:type="dxa" w:w="180"/>
              <w:right w:type="dxa" w:w="220"/>
            </w:tcMar>
          </w:tcPr>
          <w:p>
            <w:pPr>
              <w:spacing w:after="100"/>
            </w:pPr>
            <w:r>
              <w:rPr>
                <w:rFonts w:ascii="Calibri" w:cs="Calibri" w:eastAsia="Calibri" w:hAnsi="Calibri"/>
                <w:b/>
                <w:bCs/>
                <w:color w:val="C4633E"/>
                <w:sz w:val="21"/>
                <w:szCs w:val="21"/>
              </w:rPr>
              <w:t xml:space="preserve">MICROESCENAS DE TU FUTURO JARDÍN</w:t>
            </w:r>
          </w:p>
          <w:p>
            <w:pPr>
              <w:spacing w:after="100"/>
            </w:pPr>
            <w:r>
              <w:rPr>
                <w:rFonts w:ascii="Calibri" w:cs="Calibri" w:eastAsia="Calibri" w:hAnsi="Calibri"/>
                <w:sz w:val="21"/>
                <w:szCs w:val="21"/>
              </w:rPr>
              <w:t xml:space="preserve">1) En la sala de 4, la docente comenta: «de acá no va a salir nada, son todos muy carenciados». 2) A un nene que habla poco se le asignan siempre actividades motoras «porque lo suyo no es el lenguaje». 3) Ante una mamá que no puede asistir a la reunión, la carpeta registra: «la familia no acompaña».</w:t>
            </w:r>
          </w:p>
          <w:p>
            <w:pPr>
              <w:spacing w:after="100"/>
            </w:pPr>
            <w:r>
              <w:rPr>
                <w:rFonts w:ascii="Calibri" w:cs="Calibri" w:eastAsia="Calibri" w:hAnsi="Calibri"/>
                <w:sz w:val="21"/>
                <w:szCs w:val="21"/>
              </w:rPr>
              <w:t xml:space="preserve">En cada escena, la sospecha no describe una capacidad: prescribe un futuro. ¿Qué habría pasado con otro encuadre?</w:t>
            </w:r>
          </w:p>
        </w:tc>
      </w:tr>
    </w:tbl>
    <w:p>
      <w:pPr>
        <w:spacing w:after="140"/>
      </w:pPr>
      <w:r>
        <w:rPr>
          <w:rFonts w:ascii="Calibri" w:cs="Calibri" w:eastAsia="Calibri" w:hAnsi="Calibri"/>
          <w:sz w:val="2"/>
          <w:szCs w:val="2"/>
        </w:rPr>
        <w:t xml:space="preserve"> </w:t>
      </w:r>
    </w:p>
    <w:p>
      <w:pPr>
        <w:spacing w:after="60" w:before="200"/>
        <w:jc w:val="center"/>
      </w:pPr>
      <w:r>
        <w:rPr>
          <w:rFonts w:ascii="Calibri" w:cs="Calibri" w:eastAsia="Calibri" w:hAnsi="Calibri"/>
          <w:i/>
          <w:iCs/>
          <w:color w:val="6B7280"/>
          <w:sz w:val="18"/>
          <w:szCs w:val="18"/>
        </w:rPr>
        <w:t xml:space="preserve">Psicología Educacional · Material de lectura · Clase 14 — Fracaso escolar y educabilidad</w:t>
      </w:r>
    </w:p>
    <w:p>
      <w:pPr>
        <w:spacing w:after="120" w:before="200"/>
      </w:pPr>
      <w:r>
        <w:rPr>
          <w:rFonts w:ascii="Calibri" w:cs="Calibri" w:eastAsia="Calibri" w:hAnsi="Calibri"/>
          <w:b/>
          <w:bCs/>
          <w:color w:val="C4633E"/>
          <w:sz w:val="28"/>
          <w:szCs w:val="28"/>
        </w:rPr>
        <w:t xml:space="preserve">4. La reformulación: educabilidad como propiedad de las situaciones</w:t>
      </w:r>
    </w:p>
    <w:p>
      <w:pPr>
        <w:spacing w:after="140"/>
      </w:pPr>
      <w:r>
        <w:rPr>
          <w:rFonts w:ascii="Calibri" w:cs="Calibri" w:eastAsia="Calibri" w:hAnsi="Calibri"/>
          <w:sz w:val="22"/>
          <w:szCs w:val="22"/>
        </w:rPr>
        <w:t xml:space="preserve">Baquero propone dar vuelta la pregunta. Educabilidad </w:t>
      </w:r>
      <w:r>
        <w:rPr>
          <w:rFonts w:ascii="Calibri" w:cs="Calibri" w:eastAsia="Calibri" w:hAnsi="Calibri"/>
          <w:b/>
          <w:bCs/>
          <w:sz w:val="22"/>
          <w:szCs w:val="22"/>
        </w:rPr>
        <w:t xml:space="preserve">como capacidad de los individuos</w:t>
      </w:r>
      <w:r>
        <w:rPr>
          <w:rFonts w:ascii="Calibri" w:cs="Calibri" w:eastAsia="Calibri" w:hAnsi="Calibri"/>
          <w:sz w:val="22"/>
          <w:szCs w:val="22"/>
        </w:rPr>
        <w:t xml:space="preserve"> pregunta: «¿este niño puede aprender?» — y conduce a diagnosticar, clasificar y separar. Educabilidad </w:t>
      </w:r>
      <w:r>
        <w:rPr>
          <w:rFonts w:ascii="Calibri" w:cs="Calibri" w:eastAsia="Calibri" w:hAnsi="Calibri"/>
          <w:b/>
          <w:bCs/>
          <w:sz w:val="22"/>
          <w:szCs w:val="22"/>
        </w:rPr>
        <w:t xml:space="preserve">como propiedad de las situaciones educativas</w:t>
      </w:r>
      <w:r>
        <w:rPr>
          <w:rFonts w:ascii="Calibri" w:cs="Calibri" w:eastAsia="Calibri" w:hAnsi="Calibri"/>
          <w:sz w:val="22"/>
          <w:szCs w:val="22"/>
        </w:rPr>
        <w:t xml:space="preserve"> pregunta otra cosa: «¿qué condiciones hacen posible que este niño aprenda aquí y ahora?» — y conduce a diseñar, ofrecer, sostener.</w:t>
      </w:r>
    </w:p>
    <w:p>
      <w:pPr>
        <w:spacing w:after="140"/>
      </w:pPr>
      <w:r>
        <w:rPr>
          <w:rFonts w:ascii="Calibri" w:cs="Calibri" w:eastAsia="Calibri" w:hAnsi="Calibri"/>
          <w:sz w:val="22"/>
          <w:szCs w:val="22"/>
        </w:rPr>
        <w:t xml:space="preserve">El mismo niño que «no se concentra» durante la ficha puede sostener cuarenta minutos absorto en el proyecto de huerta. Si la concentración fuera un atributo fijo, eso sería inexplicable. Como propiedad de la situación, en cambio, es esperable: hay ofertas didácticas que instalan la atención y otras que la dispersan. La diferencia no la pone el chico: la ponen las condiciones.</w:t>
      </w:r>
    </w:p>
    <w:p>
      <w:pPr>
        <w:spacing w:after="160"/>
      </w:pPr>
      <w:r>
        <w:rPr>
          <w:rFonts w:ascii="Calibri" w:cs="Calibri" w:eastAsia="Calibri" w:hAnsi="Calibri"/>
          <w:sz w:val="22"/>
          <w:szCs w:val="22"/>
        </w:rPr>
        <w:t xml:space="preserve">De ahí la fórmula final de este recorrido: pasar </w:t>
      </w:r>
      <w:r>
        <w:rPr>
          <w:rFonts w:ascii="Calibri" w:cs="Calibri" w:eastAsia="Calibri" w:hAnsi="Calibri"/>
          <w:b/>
          <w:bCs/>
          <w:sz w:val="22"/>
          <w:szCs w:val="22"/>
        </w:rPr>
        <w:t xml:space="preserve">de evaluar capacidades a construir posibilidad</w:t>
      </w:r>
      <w:r>
        <w:rPr>
          <w:rFonts w:ascii="Calibri" w:cs="Calibri" w:eastAsia="Calibri" w:hAnsi="Calibri"/>
          <w:sz w:val="22"/>
          <w:szCs w:val="22"/>
        </w:rPr>
        <w:t xml:space="preserve">. La escuela —empezando por la sala— no descubre quiénes pueden: produce las condiciones bajo las cuales todos pueden. Esa es la responsabilidad profesional que la Unidad IV deja en nuestras manos.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140"/>
        <w:gridCol w:w="3800"/>
        <w:gridCol w:w="3800"/>
      </w:tblGrid>
      <w:tr>
        <w:trPr>
          <w:tblHeader/>
        </w:trPr>
        <w:tc>
          <w:tcPr>
            <w:tcW w:type="dxa" w:w="2140"/>
            <w:shd w:fill="22334D" w:val="clear"/>
            <w:tcMar>
              <w:top w:type="dxa" w:w="90"/>
              <w:left w:type="dxa" w:w="150"/>
              <w:bottom w:type="dxa" w:w="90"/>
              <w:right w:type="dxa" w:w="150"/>
            </w:tcMar>
          </w:tcPr>
          <w:p>
            <w:r>
              <w:rPr>
                <w:rFonts w:ascii="Calibri" w:cs="Calibri" w:eastAsia="Calibri" w:hAnsi="Calibri"/>
                <w:b w:val="false"/>
                <w:bCs w:val="false"/>
                <w:sz w:val="21"/>
                <w:szCs w:val="21"/>
              </w:rPr>
              <w:t xml:space="preserve"/>
            </w:r>
          </w:p>
        </w:tc>
        <w:tc>
          <w:tcPr>
            <w:tcW w:type="dxa" w:w="3800"/>
            <w:shd w:fill="22334D" w:val="clear"/>
            <w:tcMar>
              <w:top w:type="dxa" w:w="90"/>
              <w:left w:type="dxa" w:w="150"/>
              <w:bottom w:type="dxa" w:w="90"/>
              <w:right w:type="dxa" w:w="150"/>
            </w:tcMar>
          </w:tcPr>
          <w:p>
            <w:r>
              <w:rPr>
                <w:rFonts w:ascii="Calibri" w:cs="Calibri" w:eastAsia="Calibri" w:hAnsi="Calibri"/>
                <w:b/>
                <w:bCs/>
                <w:sz w:val="21"/>
                <w:szCs w:val="21"/>
              </w:rPr>
              <w:t xml:space="preserve">Si el problema es el chico</w:t>
            </w:r>
          </w:p>
        </w:tc>
        <w:tc>
          <w:tcPr>
            <w:tcW w:type="dxa" w:w="3800"/>
            <w:shd w:fill="22334D" w:val="clear"/>
            <w:tcMar>
              <w:top w:type="dxa" w:w="90"/>
              <w:left w:type="dxa" w:w="150"/>
              <w:bottom w:type="dxa" w:w="90"/>
              <w:right w:type="dxa" w:w="150"/>
            </w:tcMar>
          </w:tcPr>
          <w:p>
            <w:r>
              <w:rPr>
                <w:rFonts w:ascii="Calibri" w:cs="Calibri" w:eastAsia="Calibri" w:hAnsi="Calibri"/>
                <w:b/>
                <w:bCs/>
                <w:sz w:val="21"/>
                <w:szCs w:val="21"/>
              </w:rPr>
              <w:t xml:space="preserve">Si el problema son las situaciones</w:t>
            </w:r>
          </w:p>
        </w:tc>
      </w:tr>
      <w:tr>
        <w:tc>
          <w:tcPr>
            <w:tcW w:type="dxa" w:w="2140"/>
            <w:shd w:fill="E3E6CF" w:val="clear"/>
            <w:tcMar>
              <w:top w:type="dxa" w:w="90"/>
              <w:left w:type="dxa" w:w="150"/>
              <w:bottom w:type="dxa" w:w="90"/>
              <w:right w:type="dxa" w:w="150"/>
            </w:tcMar>
          </w:tcPr>
          <w:p>
            <w:r>
              <w:rPr>
                <w:rFonts w:ascii="Calibri" w:cs="Calibri" w:eastAsia="Calibri" w:hAnsi="Calibri"/>
                <w:b/>
                <w:bCs/>
                <w:sz w:val="21"/>
                <w:szCs w:val="21"/>
              </w:rPr>
              <w:t xml:space="preserve">Pregunta guía</w:t>
            </w:r>
          </w:p>
        </w:tc>
        <w:tc>
          <w:tcPr>
            <w:tcW w:type="dxa" w:w="3800"/>
            <w:shd w:fill="FFFFFF" w:val="clear"/>
            <w:tcMar>
              <w:top w:type="dxa" w:w="90"/>
              <w:left w:type="dxa" w:w="150"/>
              <w:bottom w:type="dxa" w:w="90"/>
              <w:right w:type="dxa" w:w="150"/>
            </w:tcMar>
          </w:tcPr>
          <w:p>
            <w:r>
              <w:rPr>
                <w:rFonts w:ascii="Calibri" w:cs="Calibri" w:eastAsia="Calibri" w:hAnsi="Calibri"/>
                <w:b w:val="false"/>
                <w:bCs w:val="false"/>
                <w:sz w:val="21"/>
                <w:szCs w:val="21"/>
              </w:rPr>
              <w:t xml:space="preserve">«¿Este niño puede aprender?»</w:t>
            </w:r>
          </w:p>
        </w:tc>
        <w:tc>
          <w:tcPr>
            <w:tcW w:type="dxa" w:w="3800"/>
            <w:shd w:fill="FFFFFF" w:val="clear"/>
            <w:tcMar>
              <w:top w:type="dxa" w:w="90"/>
              <w:left w:type="dxa" w:w="150"/>
              <w:bottom w:type="dxa" w:w="90"/>
              <w:right w:type="dxa" w:w="150"/>
            </w:tcMar>
          </w:tcPr>
          <w:p>
            <w:r>
              <w:rPr>
                <w:rFonts w:ascii="Calibri" w:cs="Calibri" w:eastAsia="Calibri" w:hAnsi="Calibri"/>
                <w:b w:val="false"/>
                <w:bCs w:val="false"/>
                <w:sz w:val="21"/>
                <w:szCs w:val="21"/>
              </w:rPr>
              <w:t xml:space="preserve">«¿Bajo qué condiciones aprende este niño?»</w:t>
            </w:r>
          </w:p>
        </w:tc>
      </w:tr>
      <w:tr>
        <w:tc>
          <w:tcPr>
            <w:tcW w:type="dxa" w:w="2140"/>
            <w:shd w:fill="E3E6CF" w:val="clear"/>
            <w:tcMar>
              <w:top w:type="dxa" w:w="90"/>
              <w:left w:type="dxa" w:w="150"/>
              <w:bottom w:type="dxa" w:w="90"/>
              <w:right w:type="dxa" w:w="150"/>
            </w:tcMar>
          </w:tcPr>
          <w:p>
            <w:r>
              <w:rPr>
                <w:rFonts w:ascii="Calibri" w:cs="Calibri" w:eastAsia="Calibri" w:hAnsi="Calibri"/>
                <w:b/>
                <w:bCs/>
                <w:sz w:val="21"/>
                <w:szCs w:val="21"/>
              </w:rPr>
              <w:t xml:space="preserve">Qué mira</w:t>
            </w:r>
          </w:p>
        </w:tc>
        <w:tc>
          <w:tcPr>
            <w:tcW w:type="dxa" w:w="3800"/>
            <w:shd w:fill="FFFFFF" w:val="clear"/>
            <w:tcMar>
              <w:top w:type="dxa" w:w="90"/>
              <w:left w:type="dxa" w:w="150"/>
              <w:bottom w:type="dxa" w:w="90"/>
              <w:right w:type="dxa" w:w="150"/>
            </w:tcMar>
          </w:tcPr>
          <w:p>
            <w:r>
              <w:rPr>
                <w:rFonts w:ascii="Calibri" w:cs="Calibri" w:eastAsia="Calibri" w:hAnsi="Calibri"/>
                <w:b w:val="false"/>
                <w:bCs w:val="false"/>
                <w:sz w:val="21"/>
                <w:szCs w:val="21"/>
              </w:rPr>
              <w:t xml:space="preserve">Déficits, carencias, antecedentes familiares</w:t>
            </w:r>
          </w:p>
        </w:tc>
        <w:tc>
          <w:tcPr>
            <w:tcW w:type="dxa" w:w="3800"/>
            <w:shd w:fill="FFFFFF" w:val="clear"/>
            <w:tcMar>
              <w:top w:type="dxa" w:w="90"/>
              <w:left w:type="dxa" w:w="150"/>
              <w:bottom w:type="dxa" w:w="90"/>
              <w:right w:type="dxa" w:w="150"/>
            </w:tcMar>
          </w:tcPr>
          <w:p>
            <w:r>
              <w:rPr>
                <w:rFonts w:ascii="Calibri" w:cs="Calibri" w:eastAsia="Calibri" w:hAnsi="Calibri"/>
                <w:b w:val="false"/>
                <w:bCs w:val="false"/>
                <w:sz w:val="21"/>
                <w:szCs w:val="21"/>
              </w:rPr>
              <w:t xml:space="preserve">Oferta didáctica, vínculos, organización, tiempos</w:t>
            </w:r>
          </w:p>
        </w:tc>
      </w:tr>
      <w:tr>
        <w:tc>
          <w:tcPr>
            <w:tcW w:type="dxa" w:w="2140"/>
            <w:shd w:fill="E3E6CF" w:val="clear"/>
            <w:tcMar>
              <w:top w:type="dxa" w:w="90"/>
              <w:left w:type="dxa" w:w="150"/>
              <w:bottom w:type="dxa" w:w="90"/>
              <w:right w:type="dxa" w:w="150"/>
            </w:tcMar>
          </w:tcPr>
          <w:p>
            <w:r>
              <w:rPr>
                <w:rFonts w:ascii="Calibri" w:cs="Calibri" w:eastAsia="Calibri" w:hAnsi="Calibri"/>
                <w:b/>
                <w:bCs/>
                <w:sz w:val="21"/>
                <w:szCs w:val="21"/>
              </w:rPr>
              <w:t xml:space="preserve">Qué hace la docente</w:t>
            </w:r>
          </w:p>
        </w:tc>
        <w:tc>
          <w:tcPr>
            <w:tcW w:type="dxa" w:w="3800"/>
            <w:shd w:fill="FFFFFF" w:val="clear"/>
            <w:tcMar>
              <w:top w:type="dxa" w:w="90"/>
              <w:left w:type="dxa" w:w="150"/>
              <w:bottom w:type="dxa" w:w="90"/>
              <w:right w:type="dxa" w:w="150"/>
            </w:tcMar>
          </w:tcPr>
          <w:p>
            <w:r>
              <w:rPr>
                <w:rFonts w:ascii="Calibri" w:cs="Calibri" w:eastAsia="Calibri" w:hAnsi="Calibri"/>
                <w:b w:val="false"/>
                <w:bCs w:val="false"/>
                <w:sz w:val="21"/>
                <w:szCs w:val="21"/>
              </w:rPr>
              <w:t xml:space="preserve">Diagnostica, simplifica, baja expectativas</w:t>
            </w:r>
          </w:p>
        </w:tc>
        <w:tc>
          <w:tcPr>
            <w:tcW w:type="dxa" w:w="3800"/>
            <w:shd w:fill="FFFFFF" w:val="clear"/>
            <w:tcMar>
              <w:top w:type="dxa" w:w="90"/>
              <w:left w:type="dxa" w:w="150"/>
              <w:bottom w:type="dxa" w:w="90"/>
              <w:right w:type="dxa" w:w="150"/>
            </w:tcMar>
          </w:tcPr>
          <w:p>
            <w:r>
              <w:rPr>
                <w:rFonts w:ascii="Calibri" w:cs="Calibri" w:eastAsia="Calibri" w:hAnsi="Calibri"/>
                <w:b w:val="false"/>
                <w:bCs w:val="false"/>
                <w:sz w:val="21"/>
                <w:szCs w:val="21"/>
              </w:rPr>
              <w:t xml:space="preserve">Rediseña condiciones, ofrece vías diversas, sostiene expectativas</w:t>
            </w:r>
          </w:p>
        </w:tc>
      </w:tr>
      <w:tr>
        <w:tc>
          <w:tcPr>
            <w:tcW w:type="dxa" w:w="2140"/>
            <w:shd w:fill="E3E6CF" w:val="clear"/>
            <w:tcMar>
              <w:top w:type="dxa" w:w="90"/>
              <w:left w:type="dxa" w:w="150"/>
              <w:bottom w:type="dxa" w:w="90"/>
              <w:right w:type="dxa" w:w="150"/>
            </w:tcMar>
          </w:tcPr>
          <w:p>
            <w:r>
              <w:rPr>
                <w:rFonts w:ascii="Calibri" w:cs="Calibri" w:eastAsia="Calibri" w:hAnsi="Calibri"/>
                <w:b/>
                <w:bCs/>
                <w:sz w:val="21"/>
                <w:szCs w:val="21"/>
              </w:rPr>
              <w:t xml:space="preserve">Quién cambia</w:t>
            </w:r>
          </w:p>
        </w:tc>
        <w:tc>
          <w:tcPr>
            <w:tcW w:type="dxa" w:w="3800"/>
            <w:shd w:fill="FFFFFF" w:val="clear"/>
            <w:tcMar>
              <w:top w:type="dxa" w:w="90"/>
              <w:left w:type="dxa" w:w="150"/>
              <w:bottom w:type="dxa" w:w="90"/>
              <w:right w:type="dxa" w:w="150"/>
            </w:tcMar>
          </w:tcPr>
          <w:p>
            <w:r>
              <w:rPr>
                <w:rFonts w:ascii="Calibri" w:cs="Calibri" w:eastAsia="Calibri" w:hAnsi="Calibri"/>
                <w:b w:val="false"/>
                <w:bCs w:val="false"/>
                <w:sz w:val="21"/>
                <w:szCs w:val="21"/>
              </w:rPr>
              <w:t xml:space="preserve">El niño (si puede)</w:t>
            </w:r>
          </w:p>
        </w:tc>
        <w:tc>
          <w:tcPr>
            <w:tcW w:type="dxa" w:w="3800"/>
            <w:shd w:fill="FFFFFF" w:val="clear"/>
            <w:tcMar>
              <w:top w:type="dxa" w:w="90"/>
              <w:left w:type="dxa" w:w="150"/>
              <w:bottom w:type="dxa" w:w="90"/>
              <w:right w:type="dxa" w:w="150"/>
            </w:tcMar>
          </w:tcPr>
          <w:p>
            <w:r>
              <w:rPr>
                <w:rFonts w:ascii="Calibri" w:cs="Calibri" w:eastAsia="Calibri" w:hAnsi="Calibri"/>
                <w:b w:val="false"/>
                <w:bCs w:val="false"/>
                <w:sz w:val="21"/>
                <w:szCs w:val="21"/>
              </w:rPr>
              <w:t xml:space="preserve">La propuesta educativa (siempre)</w:t>
            </w:r>
          </w:p>
        </w:tc>
      </w:tr>
    </w:tbl>
    <w:p>
      <w:pPr>
        <w:spacing w:after="140"/>
      </w:pPr>
      <w:r>
        <w:rPr>
          <w:rFonts w:ascii="Calibri" w:cs="Calibri" w:eastAsia="Calibri" w:hAnsi="Calibri"/>
          <w:sz w:val="2"/>
          <w:szCs w:val="2"/>
        </w:rPr>
        <w:t xml:space="preserve"> </w:t>
      </w:r>
    </w:p>
    <w:p>
      <w:pPr>
        <w:spacing w:after="60" w:before="200"/>
        <w:jc w:val="center"/>
      </w:pPr>
      <w:r>
        <w:rPr>
          <w:rFonts w:ascii="Calibri" w:cs="Calibri" w:eastAsia="Calibri" w:hAnsi="Calibri"/>
          <w:i/>
          <w:iCs/>
          <w:color w:val="6B7280"/>
          <w:sz w:val="18"/>
          <w:szCs w:val="18"/>
        </w:rPr>
        <w:t xml:space="preserve">Psicología Educacional · Material de lectura · Clase 14 — Fracaso escolar y educabilidad</w:t>
      </w:r>
    </w:p>
    <w:p>
      <w:pPr>
        <w:spacing w:after="120" w:before="200"/>
      </w:pPr>
      <w:r>
        <w:rPr>
          <w:rFonts w:ascii="Calibri" w:cs="Calibri" w:eastAsia="Calibri" w:hAnsi="Calibri"/>
          <w:b/>
          <w:bCs/>
          <w:color w:val="C4633E"/>
          <w:sz w:val="28"/>
          <w:szCs w:val="28"/>
        </w:rPr>
        <w:t xml:space="preserve">5. De rótulos a condiciones: para llevarte al aula</w:t>
      </w:r>
    </w:p>
    <w:p>
      <w:pPr>
        <w:spacing w:after="100"/>
      </w:pPr>
      <w:r>
        <w:rPr>
          <w:rFonts w:ascii="Calibri" w:cs="Calibri" w:eastAsia="Calibri" w:hAnsi="Calibri"/>
          <w:sz w:val="22"/>
          <w:szCs w:val="22"/>
        </w:rPr>
        <w:t xml:space="preserve">El desplazamiento conceptual se vuelve práctica en cinco movimientos concretos:</w:t>
      </w:r>
    </w:p>
    <w:p>
      <w:pPr>
        <w:spacing w:after="100"/>
        <w:ind w:left="240"/>
      </w:pPr>
      <w:r>
        <w:rPr>
          <w:rFonts w:ascii="Calibri" w:cs="Calibri" w:eastAsia="Calibri" w:hAnsi="Calibri"/>
          <w:b/>
          <w:bCs/>
          <w:color w:val="C4633E"/>
          <w:sz w:val="22"/>
          <w:szCs w:val="22"/>
        </w:rPr>
        <w:t xml:space="preserve">• </w:t>
      </w:r>
      <w:r>
        <w:rPr>
          <w:rFonts w:ascii="Calibri" w:cs="Calibri" w:eastAsia="Calibri" w:hAnsi="Calibri"/>
          <w:b/>
          <w:bCs/>
          <w:sz w:val="22"/>
          <w:szCs w:val="22"/>
        </w:rPr>
        <w:t xml:space="preserve">Describir conductas, no esencias.</w:t>
      </w:r>
      <w:r>
        <w:rPr>
          <w:rFonts w:ascii="Calibri" w:cs="Calibri" w:eastAsia="Calibri" w:hAnsi="Calibri"/>
          <w:sz w:val="22"/>
          <w:szCs w:val="22"/>
        </w:rPr>
        <w:t xml:space="preserve"> En lugar de «es inquieto», registrar: «necesita cambios de actividad cada pocos minutos». La descripción abre alternativas; la esencia cierra el caso.</w:t>
      </w:r>
    </w:p>
    <w:p>
      <w:pPr>
        <w:spacing w:after="100"/>
        <w:ind w:left="240"/>
      </w:pPr>
      <w:r>
        <w:rPr>
          <w:rFonts w:ascii="Calibri" w:cs="Calibri" w:eastAsia="Calibri" w:hAnsi="Calibri"/>
          <w:b/>
          <w:bCs/>
          <w:color w:val="C4633E"/>
          <w:sz w:val="22"/>
          <w:szCs w:val="22"/>
        </w:rPr>
        <w:t xml:space="preserve">• </w:t>
      </w:r>
      <w:r>
        <w:rPr>
          <w:rFonts w:ascii="Calibri" w:cs="Calibri" w:eastAsia="Calibri" w:hAnsi="Calibri"/>
          <w:b/>
          <w:bCs/>
          <w:sz w:val="22"/>
          <w:szCs w:val="22"/>
        </w:rPr>
        <w:t xml:space="preserve">Preguntarse por la oferta antes que por el niño.</w:t>
      </w:r>
      <w:r>
        <w:rPr>
          <w:rFonts w:ascii="Calibri" w:cs="Calibri" w:eastAsia="Calibri" w:hAnsi="Calibri"/>
          <w:sz w:val="22"/>
          <w:szCs w:val="22"/>
        </w:rPr>
        <w:t xml:space="preserve"> Ante una dificultad, la primera pregunta profesional no es «¿qué le pasa a este chico?» sino «¿qué le está ofreciendo (o negando) mi propuesta didáctica?».</w:t>
      </w:r>
    </w:p>
    <w:p>
      <w:pPr>
        <w:spacing w:after="100"/>
        <w:ind w:left="240"/>
      </w:pPr>
      <w:r>
        <w:rPr>
          <w:rFonts w:ascii="Calibri" w:cs="Calibri" w:eastAsia="Calibri" w:hAnsi="Calibri"/>
          <w:b/>
          <w:bCs/>
          <w:color w:val="C4633E"/>
          <w:sz w:val="22"/>
          <w:szCs w:val="22"/>
        </w:rPr>
        <w:t xml:space="preserve">• </w:t>
      </w:r>
      <w:r>
        <w:rPr>
          <w:rFonts w:ascii="Calibri" w:cs="Calibri" w:eastAsia="Calibri" w:hAnsi="Calibri"/>
          <w:b/>
          <w:bCs/>
          <w:sz w:val="22"/>
          <w:szCs w:val="22"/>
        </w:rPr>
        <w:t xml:space="preserve">Diseñar condiciones variadas para un mismo contenido.</w:t>
      </w:r>
      <w:r>
        <w:rPr>
          <w:rFonts w:ascii="Calibri" w:cs="Calibri" w:eastAsia="Calibri" w:hAnsi="Calibri"/>
          <w:sz w:val="22"/>
          <w:szCs w:val="22"/>
        </w:rPr>
        <w:t xml:space="preserve"> Asamblea + juego dramático + registro gráfico + salida al patio: el mismo aprendizaje ofrecido por vías distintas multiplica las oportunidades de instalarlo.</w:t>
      </w:r>
    </w:p>
    <w:p>
      <w:pPr>
        <w:spacing w:after="100"/>
        <w:ind w:left="240"/>
      </w:pPr>
      <w:r>
        <w:rPr>
          <w:rFonts w:ascii="Calibri" w:cs="Calibri" w:eastAsia="Calibri" w:hAnsi="Calibri"/>
          <w:b/>
          <w:bCs/>
          <w:color w:val="C4633E"/>
          <w:sz w:val="22"/>
          <w:szCs w:val="22"/>
        </w:rPr>
        <w:t xml:space="preserve">• </w:t>
      </w:r>
      <w:r>
        <w:rPr>
          <w:rFonts w:ascii="Calibri" w:cs="Calibri" w:eastAsia="Calibri" w:hAnsi="Calibri"/>
          <w:b/>
          <w:bCs/>
          <w:sz w:val="22"/>
          <w:szCs w:val="22"/>
        </w:rPr>
        <w:t xml:space="preserve">Registrar logros en condiciones nuevas y mostrarlos.</w:t>
      </w:r>
      <w:r>
        <w:rPr>
          <w:rFonts w:ascii="Calibri" w:cs="Calibri" w:eastAsia="Calibri" w:hAnsi="Calibri"/>
          <w:sz w:val="22"/>
          <w:szCs w:val="22"/>
        </w:rPr>
        <w:t xml:space="preserve"> Cuando el chico «imposible» sostiene la atención en el proyecto, dejar constancia y comunicarla a la familia y al equipo. Los registros contraevidencia desmontan etiquetas institucionales.</w:t>
      </w:r>
    </w:p>
    <w:p>
      <w:pPr>
        <w:spacing w:after="100"/>
        <w:ind w:left="240"/>
      </w:pPr>
      <w:r>
        <w:rPr>
          <w:rFonts w:ascii="Calibri" w:cs="Calibri" w:eastAsia="Calibri" w:hAnsi="Calibri"/>
          <w:b/>
          <w:bCs/>
          <w:color w:val="C4633E"/>
          <w:sz w:val="22"/>
          <w:szCs w:val="22"/>
        </w:rPr>
        <w:t xml:space="preserve">• </w:t>
      </w:r>
      <w:r>
        <w:rPr>
          <w:rFonts w:ascii="Calibri" w:cs="Calibri" w:eastAsia="Calibri" w:hAnsi="Calibri"/>
          <w:b/>
          <w:bCs/>
          <w:sz w:val="22"/>
          <w:szCs w:val="22"/>
        </w:rPr>
        <w:t xml:space="preserve">Auditar los documentos que rotulan.</w:t>
      </w:r>
      <w:r>
        <w:rPr>
          <w:rFonts w:ascii="Calibri" w:cs="Calibri" w:eastAsia="Calibri" w:hAnsi="Calibri"/>
          <w:sz w:val="22"/>
          <w:szCs w:val="22"/>
        </w:rPr>
        <w:t xml:space="preserve"> Releer carpetas e informes del año anterior con ojos de esta clase: ¿describen situaciones o sentencian personas? El lenguaje administrativo también enseña — o condena.</w:t>
      </w:r>
    </w:p>
    <w:p>
      <w:pPr>
        <w:spacing w:after="140"/>
      </w:pPr>
      <w:r>
        <w:rPr>
          <w:rFonts w:ascii="Calibri" w:cs="Calibri" w:eastAsia="Calibri" w:hAnsi="Calibri"/>
          <w:sz w:val="2"/>
          <w:szCs w:val="2"/>
        </w:rPr>
        <w:t xml:space="preserve"> </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5A6440" w:sz="6"/>
              <w:left w:val="single" w:color="5A6440" w:sz="24"/>
              <w:bottom w:val="single" w:color="5A6440" w:sz="6"/>
              <w:right w:val="single" w:color="5A6440" w:sz="6"/>
            </w:tcBorders>
            <w:shd w:fill="E3E6CF" w:val="clear"/>
            <w:tcMar>
              <w:top w:type="dxa" w:w="160"/>
              <w:left w:type="dxa" w:w="220"/>
              <w:bottom w:type="dxa" w:w="180"/>
              <w:right w:type="dxa" w:w="220"/>
            </w:tcMar>
          </w:tcPr>
          <w:p>
            <w:pPr>
              <w:spacing w:after="100"/>
            </w:pPr>
            <w:r>
              <w:rPr>
                <w:rFonts w:ascii="Calibri" w:cs="Calibri" w:eastAsia="Calibri" w:hAnsi="Calibri"/>
                <w:b/>
                <w:bCs/>
                <w:color w:val="C4633E"/>
                <w:sz w:val="21"/>
                <w:szCs w:val="21"/>
              </w:rPr>
              <w:t xml:space="preserve">PARA LLEVARTE AL AULA</w:t>
            </w:r>
          </w:p>
          <w:p>
            <w:pPr>
              <w:spacing w:after="100"/>
            </w:pPr>
            <w:r>
              <w:rPr>
                <w:rFonts w:ascii="Calibri" w:cs="Calibri" w:eastAsia="Calibri" w:hAnsi="Calibri"/>
                <w:sz w:val="21"/>
                <w:szCs w:val="21"/>
              </w:rPr>
              <w:t xml:space="preserve">La tarea integradora de esta unidad te pide exactamente esto: tomar UNA situación real donde un chico fue rotulado como «problema» y reescribirla dos veces — una como si el problema fuera el chico, otra como si el problema fueran las condiciones. Guardá la escritura puente de hoy: juntas son insumo directo del examen final.</w:t>
            </w:r>
          </w:p>
        </w:tc>
      </w:tr>
    </w:tbl>
    <w:p>
      <w:pPr>
        <w:spacing w:after="140"/>
      </w:pPr>
      <w:r>
        <w:rPr>
          <w:rFonts w:ascii="Calibri" w:cs="Calibri" w:eastAsia="Calibri" w:hAnsi="Calibri"/>
          <w:sz w:val="2"/>
          <w:szCs w:val="2"/>
        </w:rPr>
        <w:t xml:space="preserve"> </w:t>
      </w:r>
    </w:p>
    <w:p>
      <w:pPr>
        <w:spacing w:after="120" w:before="300"/>
      </w:pPr>
      <w:r>
        <w:rPr>
          <w:rFonts w:ascii="Calibri" w:cs="Calibri" w:eastAsia="Calibri" w:hAnsi="Calibri"/>
          <w:b/>
          <w:bCs/>
          <w:color w:val="22334D"/>
          <w:sz w:val="26"/>
          <w:szCs w:val="26"/>
        </w:rPr>
        <w:t xml:space="preserve">Conclusión: la escuela heredada y la escuela por diseñar</w:t>
      </w:r>
    </w:p>
    <w:p>
      <w:pPr>
        <w:spacing w:after="140"/>
      </w:pPr>
      <w:r>
        <w:rPr>
          <w:rFonts w:ascii="Calibri" w:cs="Calibri" w:eastAsia="Calibri" w:hAnsi="Calibri"/>
          <w:sz w:val="22"/>
          <w:szCs w:val="22"/>
        </w:rPr>
        <w:t xml:space="preserve">Nosotras fuimos alumnas de escuelas que evaluaban capacidades y etiquetaban a partir de ellas. Muchos de esos rótulos todavía duelen — como los que trajeron hoy a clase. Pero la escuela que vamos a tener a cargo no la heredamos: la diseñamos. Cada consigna que abre en lugar de cerrar, cada espera que respeta, cada proyecto que instala la atención de un chico «que no se concentra», cada registro que describe en lugar de sentenciar, es construcción de posibilidad.</w:t>
      </w:r>
    </w:p>
    <w:p>
      <w:pPr>
        <w:spacing w:after="160" w:before="120"/>
        <w:jc w:val="center"/>
      </w:pPr>
      <w:r>
        <w:rPr>
          <w:rFonts w:ascii="Calibri" w:cs="Calibri" w:eastAsia="Calibri" w:hAnsi="Calibri"/>
          <w:b/>
          <w:bCs/>
          <w:color w:val="C4633E"/>
          <w:sz w:val="24"/>
          <w:szCs w:val="24"/>
        </w:rPr>
        <w:t xml:space="preserve">La educabilidad no se diagnostica: se construye.</w:t>
      </w:r>
    </w:p>
    <w:p>
      <w:pPr>
        <w:spacing w:after="120" w:before="200"/>
      </w:pPr>
      <w:r>
        <w:rPr>
          <w:rFonts w:ascii="Calibri" w:cs="Calibri" w:eastAsia="Calibri" w:hAnsi="Calibri"/>
          <w:b/>
          <w:bCs/>
          <w:color w:val="22334D"/>
          <w:sz w:val="26"/>
          <w:szCs w:val="26"/>
        </w:rPr>
        <w:t xml:space="preserve">Síntesis: ideas para llevarse</w:t>
      </w:r>
    </w:p>
    <w:p>
      <w:pPr>
        <w:spacing w:after="9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El fracaso escolar es un concepto histórico: existe desde que la escuela obligatoria se propuso enseñar —y rendir cuentas— por todos.</w:t>
      </w:r>
    </w:p>
    <w:p>
      <w:pPr>
        <w:spacing w:after="9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Masivo, el fracaso ya no puede explicarse como suma de déficits individuales: la explicación está en la escolaridad (Terigi).</w:t>
      </w:r>
    </w:p>
    <w:p>
      <w:pPr>
        <w:spacing w:after="9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La sospecha sobre la educabilidad de los sectores populares se autocumple: baja expectativa → menos oportunidad → peor resultado → confirmación.</w:t>
      </w:r>
    </w:p>
    <w:p>
      <w:pPr>
        <w:spacing w:after="9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Educabilidad = propiedad de la situación, no atributo fijo del sujeto (Baquero): cambia la oferta, cambia lo posible.</w:t>
      </w:r>
    </w:p>
    <w:p>
      <w:pPr>
        <w:spacing w:after="14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Nuestro oficio: de evaluar capacidades a construir posibilidades — describir conductas, rediseñar condiciones, auditar los rótulos.</w:t>
      </w:r>
    </w:p>
    <w:p>
      <w:pPr>
        <w:spacing w:after="60" w:before="200"/>
        <w:jc w:val="center"/>
      </w:pPr>
      <w:r>
        <w:rPr>
          <w:rFonts w:ascii="Calibri" w:cs="Calibri" w:eastAsia="Calibri" w:hAnsi="Calibri"/>
          <w:i/>
          <w:iCs/>
          <w:color w:val="6B7280"/>
          <w:sz w:val="18"/>
          <w:szCs w:val="18"/>
        </w:rPr>
        <w:t xml:space="preserve">Psicología Educacional · Material de lectura · Clase 14 — Fracaso escolar y educabilidad</w:t>
      </w:r>
    </w:p>
    <w:p>
      <w:pPr>
        <w:spacing w:after="120" w:before="300"/>
      </w:pPr>
      <w:r>
        <w:rPr>
          <w:rFonts w:ascii="Calibri" w:cs="Calibri" w:eastAsia="Calibri" w:hAnsi="Calibri"/>
          <w:b/>
          <w:bCs/>
          <w:color w:val="22334D"/>
          <w:sz w:val="26"/>
          <w:szCs w:val="26"/>
        </w:rPr>
        <w:t xml:space="preserve">Glosario de conceptos clave · Clase 14</w:t>
      </w:r>
    </w:p>
    <w:p>
      <w:pPr>
        <w:spacing w:after="20" w:before="80"/>
      </w:pPr>
      <w:r>
        <w:rPr>
          <w:rFonts w:ascii="Calibri" w:cs="Calibri" w:eastAsia="Calibri" w:hAnsi="Calibri"/>
          <w:b/>
          <w:bCs/>
          <w:sz w:val="22"/>
          <w:szCs w:val="22"/>
        </w:rPr>
        <w:t xml:space="preserve">Fracaso escolar</w:t>
      </w:r>
    </w:p>
    <w:p>
      <w:pPr>
        <w:spacing w:after="60"/>
      </w:pPr>
      <w:r>
        <w:rPr>
          <w:rFonts w:ascii="Calibri" w:cs="Calibri" w:eastAsia="Calibri" w:hAnsi="Calibri"/>
          <w:sz w:val="21"/>
          <w:szCs w:val="21"/>
        </w:rPr>
        <w:t xml:space="preserve">Concepto histórico que designa la imposibilidad de completar satisfactoriamente la escolaridad obligatoria según los criterios del propio sistema escolar.</w:t>
      </w:r>
    </w:p>
    <w:p>
      <w:pPr>
        <w:spacing w:after="20" w:before="80"/>
      </w:pPr>
      <w:r>
        <w:rPr>
          <w:rFonts w:ascii="Calibri" w:cs="Calibri" w:eastAsia="Calibri" w:hAnsi="Calibri"/>
          <w:b/>
          <w:bCs/>
          <w:sz w:val="22"/>
          <w:szCs w:val="22"/>
        </w:rPr>
        <w:t xml:space="preserve">Fracaso escolar masivo</w:t>
      </w:r>
    </w:p>
    <w:p>
      <w:pPr>
        <w:spacing w:after="60"/>
      </w:pPr>
      <w:r>
        <w:rPr>
          <w:rFonts w:ascii="Calibri" w:cs="Calibri" w:eastAsia="Calibri" w:hAnsi="Calibri"/>
          <w:sz w:val="21"/>
          <w:szCs w:val="21"/>
        </w:rPr>
        <w:t xml:space="preserve">Situación en la cual el fracaso deja de ser excepcional y afecta de manera sistemática a amplios sectores sociales; su escala exige explicarlas por la escolaridad y no por atributos individuales (Terigi, 2009).</w:t>
      </w:r>
    </w:p>
    <w:p>
      <w:pPr>
        <w:spacing w:after="20" w:before="80"/>
      </w:pPr>
      <w:r>
        <w:rPr>
          <w:rFonts w:ascii="Calibri" w:cs="Calibri" w:eastAsia="Calibri" w:hAnsi="Calibri"/>
          <w:b/>
          <w:bCs/>
          <w:sz w:val="22"/>
          <w:szCs w:val="22"/>
        </w:rPr>
        <w:t xml:space="preserve">Modelo del déficit</w:t>
      </w:r>
    </w:p>
    <w:p>
      <w:pPr>
        <w:spacing w:after="60"/>
      </w:pPr>
      <w:r>
        <w:rPr>
          <w:rFonts w:ascii="Calibri" w:cs="Calibri" w:eastAsia="Calibri" w:hAnsi="Calibri"/>
          <w:sz w:val="21"/>
          <w:szCs w:val="21"/>
        </w:rPr>
        <w:t xml:space="preserve">Tradición explicativa que sitúa la causa de las dificultades escolares dentro del alumno: capacidades medidas, carencias culturales o familiares. Deja fuera de análisis a la institución que enseña.</w:t>
      </w:r>
    </w:p>
    <w:p>
      <w:pPr>
        <w:spacing w:after="20" w:before="80"/>
      </w:pPr>
      <w:r>
        <w:rPr>
          <w:rFonts w:ascii="Calibri" w:cs="Calibri" w:eastAsia="Calibri" w:hAnsi="Calibri"/>
          <w:b/>
          <w:bCs/>
          <w:sz w:val="22"/>
          <w:szCs w:val="22"/>
        </w:rPr>
        <w:t xml:space="preserve">Educabilidad</w:t>
      </w:r>
    </w:p>
    <w:p>
      <w:pPr>
        <w:spacing w:after="60"/>
      </w:pPr>
      <w:r>
        <w:rPr>
          <w:rFonts w:ascii="Calibri" w:cs="Calibri" w:eastAsia="Calibri" w:hAnsi="Calibri"/>
          <w:sz w:val="21"/>
          <w:szCs w:val="21"/>
        </w:rPr>
        <w:t xml:space="preserve">Posibilidad de ser educado. Como capacidad individual, se diagnostica y clasifica; como propiedad de las situaciones educativas, depende de la calidad de la oferta de enseñanza (Baquero, 2001).</w:t>
      </w:r>
    </w:p>
    <w:p>
      <w:pPr>
        <w:spacing w:after="20" w:before="80"/>
      </w:pPr>
      <w:r>
        <w:rPr>
          <w:rFonts w:ascii="Calibri" w:cs="Calibri" w:eastAsia="Calibri" w:hAnsi="Calibri"/>
          <w:b/>
          <w:bCs/>
          <w:sz w:val="22"/>
          <w:szCs w:val="22"/>
        </w:rPr>
        <w:t xml:space="preserve">Trayectoria teórica / trayectoria real</w:t>
      </w:r>
    </w:p>
    <w:p>
      <w:pPr>
        <w:spacing w:after="60"/>
      </w:pPr>
      <w:r>
        <w:rPr>
          <w:rFonts w:ascii="Calibri" w:cs="Calibri" w:eastAsia="Calibri" w:hAnsi="Calibri"/>
          <w:sz w:val="21"/>
          <w:szCs w:val="21"/>
        </w:rPr>
        <w:t xml:space="preserve">Recorrido idealizado que el sistema supone (un año por grado) frente al recorrido efectivamente vivido, atravesado por repeticiones, interrupciones y cambios (Terigi, 2009).</w:t>
      </w:r>
    </w:p>
    <w:p>
      <w:pPr>
        <w:spacing w:after="20" w:before="80"/>
      </w:pPr>
      <w:r>
        <w:rPr>
          <w:rFonts w:ascii="Calibri" w:cs="Calibri" w:eastAsia="Calibri" w:hAnsi="Calibri"/>
          <w:b/>
          <w:bCs/>
          <w:sz w:val="22"/>
          <w:szCs w:val="22"/>
        </w:rPr>
        <w:t xml:space="preserve">Sobreedad</w:t>
      </w:r>
    </w:p>
    <w:p>
      <w:pPr>
        <w:spacing w:after="60"/>
      </w:pPr>
      <w:r>
        <w:rPr>
          <w:rFonts w:ascii="Calibri" w:cs="Calibri" w:eastAsia="Calibri" w:hAnsi="Calibri"/>
          <w:sz w:val="21"/>
          <w:szCs w:val="21"/>
        </w:rPr>
        <w:t xml:space="preserve">Atraso respecto de la edad esperada para el grado que se cursa; uno de los mecanismos por los cuales el sistema «acomoda» hacia afuera a sus estudiantes.</w:t>
      </w:r>
    </w:p>
    <w:p>
      <w:pPr>
        <w:spacing w:after="20" w:before="80"/>
      </w:pPr>
      <w:r>
        <w:rPr>
          <w:rFonts w:ascii="Calibri" w:cs="Calibri" w:eastAsia="Calibri" w:hAnsi="Calibri"/>
          <w:b/>
          <w:bCs/>
          <w:sz w:val="22"/>
          <w:szCs w:val="22"/>
        </w:rPr>
        <w:t xml:space="preserve">Efecto performativo</w:t>
      </w:r>
    </w:p>
    <w:p>
      <w:pPr>
        <w:spacing w:after="60"/>
      </w:pPr>
      <w:r>
        <w:rPr>
          <w:rFonts w:ascii="Calibri" w:cs="Calibri" w:eastAsia="Calibri" w:hAnsi="Calibri"/>
          <w:sz w:val="21"/>
          <w:szCs w:val="21"/>
        </w:rPr>
        <w:t xml:space="preserve">Capacidad de una etiqueta o sospecha de producir, mediante las prácticas que organiza, aquello mismo que anuncia; el resultado posterior se lee como prueba original.</w:t>
      </w:r>
    </w:p>
    <w:p>
      <w:pPr>
        <w:spacing w:after="20" w:before="80"/>
      </w:pPr>
      <w:r>
        <w:rPr>
          <w:rFonts w:ascii="Calibri" w:cs="Calibri" w:eastAsia="Calibri" w:hAnsi="Calibri"/>
          <w:b/>
          <w:bCs/>
          <w:sz w:val="22"/>
          <w:szCs w:val="22"/>
        </w:rPr>
        <w:t xml:space="preserve">Naturalización</w:t>
      </w:r>
    </w:p>
    <w:p>
      <w:pPr>
        <w:spacing w:after="60"/>
      </w:pPr>
      <w:r>
        <w:rPr>
          <w:rFonts w:ascii="Calibri" w:cs="Calibri" w:eastAsia="Calibri" w:hAnsi="Calibri"/>
          <w:sz w:val="21"/>
          <w:szCs w:val="21"/>
        </w:rPr>
        <w:t xml:space="preserve">Presentar como naturaleza o destino aquello que fue producido socialmente; ocultar la historia de una situación detrás de una supuesta esencia.</w:t>
      </w:r>
    </w:p>
    <w:p>
      <w:pPr>
        <w:spacing w:after="20" w:before="80"/>
      </w:pPr>
      <w:r>
        <w:rPr>
          <w:rFonts w:ascii="Calibri" w:cs="Calibri" w:eastAsia="Calibri" w:hAnsi="Calibri"/>
          <w:b/>
          <w:bCs/>
          <w:sz w:val="22"/>
          <w:szCs w:val="22"/>
        </w:rPr>
        <w:t xml:space="preserve">Construcción de posibilidad</w:t>
      </w:r>
    </w:p>
    <w:p>
      <w:pPr>
        <w:spacing w:after="60"/>
      </w:pPr>
      <w:r>
        <w:rPr>
          <w:rFonts w:ascii="Calibri" w:cs="Calibri" w:eastAsia="Calibri" w:hAnsi="Calibri"/>
          <w:sz w:val="21"/>
          <w:szCs w:val="21"/>
        </w:rPr>
        <w:t xml:space="preserve">Perspectiva que sustituye la evaluación de capacidades por el diseño deliberado de condiciones didácticas, vinculares e institucionales bajo las cuales el aprendizaje se vuelve posible.</w:t>
      </w:r>
    </w:p>
    <w:p>
      <w:pPr>
        <w:spacing w:after="20" w:before="80"/>
      </w:pPr>
      <w:r>
        <w:rPr>
          <w:rFonts w:ascii="Calibri" w:cs="Calibri" w:eastAsia="Calibri" w:hAnsi="Calibri"/>
          <w:b/>
          <w:bCs/>
          <w:sz w:val="22"/>
          <w:szCs w:val="22"/>
        </w:rPr>
        <w:t xml:space="preserve">Pedagogía terapéutica</w:t>
      </w:r>
    </w:p>
    <w:p>
      <w:pPr>
        <w:spacing w:after="60"/>
      </w:pPr>
      <w:r>
        <w:rPr>
          <w:rFonts w:ascii="Calibri" w:cs="Calibri" w:eastAsia="Calibri" w:hAnsi="Calibri"/>
          <w:sz w:val="21"/>
          <w:szCs w:val="21"/>
        </w:rPr>
        <w:t xml:space="preserve">Respuesta histórica ante el «alumno que no aprende»: tratarlo individualmente como caso patológico, sin cuestionar la propuesta común que fracasa primero.</w:t>
      </w:r>
    </w:p>
    <w:p>
      <w:pPr>
        <w:spacing w:after="60" w:before="200"/>
        <w:jc w:val="center"/>
      </w:pPr>
      <w:r>
        <w:rPr>
          <w:rFonts w:ascii="Calibri" w:cs="Calibri" w:eastAsia="Calibri" w:hAnsi="Calibri"/>
          <w:i/>
          <w:iCs/>
          <w:color w:val="6B7280"/>
          <w:sz w:val="18"/>
          <w:szCs w:val="18"/>
        </w:rPr>
        <w:t xml:space="preserve">Psicología Educacional · Material de lectura · Clase 14 — Fracaso escolar y educabilidad</w:t>
      </w:r>
    </w:p>
    <w:p>
      <w:pPr>
        <w:spacing w:after="120" w:before="200"/>
      </w:pPr>
      <w:r>
        <w:rPr>
          <w:rFonts w:ascii="Calibri" w:cs="Calibri" w:eastAsia="Calibri" w:hAnsi="Calibri"/>
          <w:b/>
          <w:bCs/>
          <w:color w:val="22334D"/>
          <w:sz w:val="26"/>
          <w:szCs w:val="26"/>
        </w:rPr>
        <w:t xml:space="preserve">Referencias bibliográficas</w:t>
      </w:r>
    </w:p>
    <w:p>
      <w:pPr>
        <w:spacing w:after="70"/>
        <w:ind w:left="240" w:hanging="240"/>
      </w:pPr>
      <w:r>
        <w:rPr>
          <w:rFonts w:ascii="Calibri" w:cs="Calibri" w:eastAsia="Calibri" w:hAnsi="Calibri"/>
          <w:sz w:val="21"/>
          <w:szCs w:val="21"/>
        </w:rPr>
        <w:t xml:space="preserve">Baquero, R. (2001). La educabilidad bajo sospecha. Cuaderno de Pedagogía Rosario, N° 9.</w:t>
      </w:r>
    </w:p>
    <w:p>
      <w:pPr>
        <w:spacing w:after="70"/>
        <w:ind w:left="240" w:hanging="240"/>
      </w:pPr>
      <w:r>
        <w:rPr>
          <w:rFonts w:ascii="Calibri" w:cs="Calibri" w:eastAsia="Calibri" w:hAnsi="Calibri"/>
          <w:sz w:val="21"/>
          <w:szCs w:val="21"/>
        </w:rPr>
        <w:t xml:space="preserve">Guerrero Ortiz, L. (1999). Educación inicial: a la búsqueda del tesoro escondido. Revista Iberoamericana de Educación, N° 22, 75–92. Madrid: OEI.</w:t>
      </w:r>
    </w:p>
    <w:p>
      <w:pPr>
        <w:spacing w:after="70"/>
        <w:ind w:left="240" w:hanging="240"/>
      </w:pPr>
      <w:r>
        <w:rPr>
          <w:rFonts w:ascii="Calibri" w:cs="Calibri" w:eastAsia="Calibri" w:hAnsi="Calibri"/>
          <w:sz w:val="21"/>
          <w:szCs w:val="21"/>
        </w:rPr>
        <w:t xml:space="preserve">Rosenthal, R. y Jacobson, L. (1968). Pygmalion in the classroom. Nueva York: Holt, Rinehart &amp; Winston.</w:t>
      </w:r>
    </w:p>
    <w:p>
      <w:pPr>
        <w:spacing w:after="70"/>
        <w:ind w:left="240" w:hanging="240"/>
      </w:pPr>
      <w:r>
        <w:rPr>
          <w:rFonts w:ascii="Calibri" w:cs="Calibri" w:eastAsia="Calibri" w:hAnsi="Calibri"/>
          <w:sz w:val="21"/>
          <w:szCs w:val="21"/>
        </w:rPr>
        <w:t xml:space="preserve">Terigi, F. (2009). El fracaso escolar desde la perspectiva psicoeducativa. Revista Iberoamericana de Educación, N° 50, 23–39. Madrid: OEI.</w:t>
      </w:r>
    </w:p>
    <w:p>
      <w:pPr>
        <w:spacing w:after="70"/>
        <w:ind w:left="240" w:hanging="240"/>
      </w:pPr>
      <w:r>
        <w:rPr>
          <w:rFonts w:ascii="Calibri" w:cs="Calibri" w:eastAsia="Calibri" w:hAnsi="Calibri"/>
          <w:sz w:val="21"/>
          <w:szCs w:val="21"/>
        </w:rPr>
        <w:t xml:space="preserve">Toscano, A., Pérez, A., Serial, A. y López, M. (2008). Educabilidad y contextos de pobreza. X Congreso Nacional y II Internacional de REDUEI. Mendoza: Universidad Nacional de Cuyo.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54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2026-08-24T18:03:02.468Z</dcterms:created>
  <dcterms:modified xsi:type="dcterms:W3CDTF">2026-08-24T18:03:02.468Z</dcterms:modified>
</cp:coreProperties>
</file>

<file path=docProps/custom.xml><?xml version="1.0" encoding="utf-8"?>
<Properties xmlns="http://schemas.openxmlformats.org/officeDocument/2006/custom-properties" xmlns:vt="http://schemas.openxmlformats.org/officeDocument/2006/docPropsVTypes"/>
</file>