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z w:val="24"/>
          <w:szCs w:val="24"/>
        </w:rPr>
        <w:t xml:space="preserve">PROFESORADO DE EDUCACIÓN INICIAL — 2° AÑO</w:t>
      </w:r>
    </w:p>
    <w:p>
      <w:pPr>
        <w:spacing w:after="40"/>
      </w:pPr>
      <w:r>
        <w:rPr>
          <w:rFonts w:ascii="Calibri" w:cs="Calibri" w:eastAsia="Calibri" w:hAnsi="Calibri"/>
          <w:b/>
          <w:bCs/>
          <w:color w:val="22334D"/>
          <w:sz w:val="30"/>
          <w:szCs w:val="30"/>
        </w:rPr>
        <w:t xml:space="preserve">Psicología Educacional</w:t>
      </w:r>
    </w:p>
    <w:p>
      <w:pPr>
        <w:spacing w:after="160"/>
      </w:pPr>
      <w:r>
        <w:rPr>
          <w:rFonts w:ascii="Calibri" w:cs="Calibri" w:eastAsia="Calibri" w:hAnsi="Calibri"/>
          <w:i/>
          <w:iCs/>
          <w:color w:val="6B7280"/>
          <w:sz w:val="21"/>
          <w:szCs w:val="21"/>
        </w:rPr>
        <w:t xml:space="preserve">Segunda mitad del año</w:t>
      </w:r>
    </w:p>
    <w:p>
      <w:pPr>
        <w:spacing w:after="60"/>
      </w:pPr>
      <w:r>
        <w:rPr>
          <w:rFonts w:ascii="Calibri" w:cs="Calibri" w:eastAsia="Calibri" w:hAnsi="Calibri"/>
          <w:b/>
          <w:bCs/>
          <w:color w:val="C4633E"/>
          <w:sz w:val="26"/>
          <w:szCs w:val="26"/>
        </w:rPr>
        <w:t xml:space="preserve">Clase 14 — Fracaso escolar y educabilidad</w:t>
      </w:r>
    </w:p>
    <w:p>
      <w:pPr>
        <w:spacing w:after="60"/>
      </w:pPr>
      <w:r>
        <w:rPr>
          <w:rFonts w:ascii="Calibri" w:cs="Calibri" w:eastAsia="Calibri" w:hAnsi="Calibri"/>
          <w:i/>
          <w:iCs/>
          <w:color w:val="2A3547"/>
          <w:sz w:val="23"/>
          <w:szCs w:val="23"/>
        </w:rPr>
        <w:t xml:space="preserve">«Cuando un chico “fracasa”, ¿dónde está el problema: en él, o en la situación escolar que le ofrecemos?»</w:t>
      </w:r>
    </w:p>
    <w:p>
      <w:pPr>
        <w:spacing w:after="200"/>
      </w:pPr>
      <w:r>
        <w:rPr>
          <w:rFonts w:ascii="Calibri" w:cs="Calibri" w:eastAsia="Calibri" w:hAnsi="Calibri"/>
          <w:b/>
          <w:bCs/>
          <w:sz w:val="22"/>
          <w:szCs w:val="22"/>
        </w:rPr>
        <w:t xml:space="preserve">Duración: 80 minutos</w:t>
      </w:r>
    </w:p>
    <w:p>
      <w:pPr>
        <w:spacing w:after="120" w:before="300"/>
      </w:pPr>
      <w:r>
        <w:rPr>
          <w:rFonts w:ascii="Calibri" w:cs="Calibri" w:eastAsia="Calibri" w:hAnsi="Calibri"/>
          <w:b/>
          <w:bCs/>
          <w:color w:val="22334D"/>
          <w:sz w:val="26"/>
          <w:szCs w:val="26"/>
        </w:rPr>
        <w:t xml:space="preserve">Objetivos de la clase</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Distinguir dos maneras de explicar el fracaso escolar: </w:t>
      </w:r>
      <w:r>
        <w:rPr>
          <w:rFonts w:ascii="Calibri" w:cs="Calibri" w:eastAsia="Calibri" w:hAnsi="Calibri"/>
          <w:b/>
          <w:bCs/>
          <w:sz w:val="22"/>
          <w:szCs w:val="22"/>
        </w:rPr>
        <w:t xml:space="preserve">como atributo del alumno</w:t>
      </w:r>
      <w:r>
        <w:rPr>
          <w:rFonts w:ascii="Calibri" w:cs="Calibri" w:eastAsia="Calibri" w:hAnsi="Calibri"/>
          <w:sz w:val="22"/>
          <w:szCs w:val="22"/>
        </w:rPr>
        <w:t xml:space="preserve"> (modelo del déficit) y </w:t>
      </w:r>
      <w:r>
        <w:rPr>
          <w:rFonts w:ascii="Calibri" w:cs="Calibri" w:eastAsia="Calibri" w:hAnsi="Calibri"/>
          <w:b/>
          <w:bCs/>
          <w:sz w:val="22"/>
          <w:szCs w:val="22"/>
        </w:rPr>
        <w:t xml:space="preserve">como producción de las situaciones escolares</w:t>
      </w:r>
      <w:r>
        <w:rPr>
          <w:rFonts w:ascii="Calibri" w:cs="Calibri" w:eastAsia="Calibri" w:hAnsi="Calibri"/>
          <w:sz w:val="22"/>
          <w:szCs w:val="22"/>
        </w:rPr>
        <w:t xml:space="preserve">, reconociendo el contexto histórico que hizo emerger cada mirada.</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Analizar las </w:t>
      </w:r>
      <w:r>
        <w:rPr>
          <w:rFonts w:ascii="Calibri" w:cs="Calibri" w:eastAsia="Calibri" w:hAnsi="Calibri"/>
          <w:b/>
          <w:bCs/>
          <w:sz w:val="22"/>
          <w:szCs w:val="22"/>
        </w:rPr>
        <w:t xml:space="preserve">sospechas sobre la educabilidad</w:t>
      </w:r>
      <w:r>
        <w:rPr>
          <w:rFonts w:ascii="Calibri" w:cs="Calibri" w:eastAsia="Calibri" w:hAnsi="Calibri"/>
          <w:sz w:val="22"/>
          <w:szCs w:val="22"/>
        </w:rPr>
        <w:t xml:space="preserve"> de los alumnos de sectores populares y sus efectos sobre las expectativas y prácticas docentes (efecto performativo de la etiqueta).</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Comprender el desplazamiento conceptual de la </w:t>
      </w:r>
      <w:r>
        <w:rPr>
          <w:rFonts w:ascii="Calibri" w:cs="Calibri" w:eastAsia="Calibri" w:hAnsi="Calibri"/>
          <w:b/>
          <w:bCs/>
          <w:sz w:val="22"/>
          <w:szCs w:val="22"/>
        </w:rPr>
        <w:t xml:space="preserve">educabilidad como capacidad individual</w:t>
      </w:r>
      <w:r>
        <w:rPr>
          <w:rFonts w:ascii="Calibri" w:cs="Calibri" w:eastAsia="Calibri" w:hAnsi="Calibri"/>
          <w:sz w:val="22"/>
          <w:szCs w:val="22"/>
        </w:rPr>
        <w:t xml:space="preserve"> hacia la </w:t>
      </w:r>
      <w:r>
        <w:rPr>
          <w:rFonts w:ascii="Calibri" w:cs="Calibri" w:eastAsia="Calibri" w:hAnsi="Calibri"/>
          <w:b/>
          <w:bCs/>
          <w:sz w:val="22"/>
          <w:szCs w:val="22"/>
        </w:rPr>
        <w:t xml:space="preserve">educabilidad como propiedad de las situaciones educativas</w:t>
      </w:r>
      <w:r>
        <w:rPr>
          <w:rFonts w:ascii="Calibri" w:cs="Calibri" w:eastAsia="Calibri" w:hAnsi="Calibri"/>
          <w:sz w:val="22"/>
          <w:szCs w:val="22"/>
        </w:rPr>
        <w:t xml:space="preserve"> (Baquero, Terigi).</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Rediseñar una situación escolar concreta aplicando la lógica de </w:t>
      </w:r>
      <w:r>
        <w:rPr>
          <w:rFonts w:ascii="Calibri" w:cs="Calibri" w:eastAsia="Calibri" w:hAnsi="Calibri"/>
          <w:b/>
          <w:bCs/>
          <w:sz w:val="22"/>
          <w:szCs w:val="22"/>
        </w:rPr>
        <w:t xml:space="preserve">construcción de posibilidad</w:t>
      </w:r>
      <w:r>
        <w:rPr>
          <w:rFonts w:ascii="Calibri" w:cs="Calibri" w:eastAsia="Calibri" w:hAnsi="Calibri"/>
          <w:sz w:val="22"/>
          <w:szCs w:val="22"/>
        </w:rPr>
        <w:t xml:space="preserve">, integrando los aportes de las clases 10–14.</w:t>
      </w:r>
    </w:p>
    <w:p>
      <w:pPr>
        <w:spacing w:after="100" w:before="260"/>
      </w:pPr>
      <w:r>
        <w:rPr>
          <w:rFonts w:ascii="Calibri" w:cs="Calibri" w:eastAsia="Calibri" w:hAnsi="Calibri"/>
          <w:b/>
          <w:bCs/>
          <w:color w:val="C4633E"/>
          <w:sz w:val="24"/>
          <w:szCs w:val="24"/>
        </w:rPr>
        <w:t xml:space="preserve">Fase 1: Apertura — Las etiquetas que trajimos (12 min)</w:t>
      </w:r>
    </w:p>
    <w:p>
      <w:pPr>
        <w:spacing w:after="100"/>
      </w:pPr>
      <w:r>
        <w:rPr>
          <w:rFonts w:ascii="Calibri" w:cs="Calibri" w:eastAsia="Calibri" w:hAnsi="Calibri"/>
          <w:i/>
          <w:iCs/>
          <w:color w:val="6B7280"/>
          <w:sz w:val="21"/>
          <w:szCs w:val="21"/>
        </w:rPr>
        <w:t xml:space="preserve">Objetivo de la fase: convertir las escrituras puente en material de análisis y llegar inductivamente a la tesis de la clase: detrás de cada «mal alumno» hay una mirada que lo produjo.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6340"/>
      </w:tblGrid>
      <w:tr>
        <w:trPr>
          <w:tblHeader/>
        </w:trPr>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Tiempo</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Actividad</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Descripción</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0–3</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Do Now</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Relectura individual de la escritura puente de la Clase 13 («alguien etiquetado como mal alumno»). Cada estudiante subraya el rótulo exacto que recibía esa persona y una capacidad suya que la escuela no vio.</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3–9</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Sistematización colectiva</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En parejas comparan sus casos y completan una frase común: «El rótulo decía…, pero lo que nadie miró fue…». Puesta en común: la docente arma dos columnas en el pizarrón — «rótulos» / «capacidades invisibilizadas» — con los aportes de todas las mesas.</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9–12</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Conexión e intención</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Desde la Clase 13: «Ya sabemos mirar con ojos creativos. Hoy damos el paso siguiente: entender cómo la escuela fabrica la etiqueta de “mal alumno” — y cómo dejar de fabricarla». Al terminar la clase van a poder rediseñar una situación real pasando de rótulos a condiciones.</w:t>
            </w:r>
          </w:p>
        </w:tc>
      </w:tr>
    </w:tbl>
    <w:p>
      <w:pPr>
        <w:spacing w:after="160" w:before="60"/>
      </w:pPr>
      <w:r>
        <w:rPr>
          <w:rFonts w:ascii="Calibri" w:cs="Calibri" w:eastAsia="Calibri" w:hAnsi="Calibri"/>
          <w:i/>
          <w:iCs/>
          <w:color w:val="6B7280"/>
          <w:sz w:val="21"/>
          <w:szCs w:val="21"/>
        </w:rPr>
        <w:t xml:space="preserve">Materiales: escrituras puente traídas por las estudiantes; pizarrón dividido en dos columnas; diapositivas 3–5.</w:t>
      </w:r>
    </w:p>
    <w:p>
      <w:pPr>
        <w:spacing w:after="100" w:before="260"/>
      </w:pPr>
      <w:r>
        <w:rPr>
          <w:rFonts w:ascii="Calibri" w:cs="Calibri" w:eastAsia="Calibri" w:hAnsi="Calibri"/>
          <w:b/>
          <w:bCs/>
          <w:color w:val="C4633E"/>
          <w:sz w:val="24"/>
          <w:szCs w:val="24"/>
        </w:rPr>
        <w:t xml:space="preserve">Fase 2: Marco conceptual — Dos maneras de explicar el fracaso (23 min)</w:t>
      </w:r>
    </w:p>
    <w:p>
      <w:pPr>
        <w:spacing w:after="100"/>
      </w:pPr>
      <w:r>
        <w:rPr>
          <w:rFonts w:ascii="Calibri" w:cs="Calibri" w:eastAsia="Calibri" w:hAnsi="Calibri"/>
          <w:i/>
          <w:iCs/>
          <w:color w:val="6B7280"/>
          <w:sz w:val="21"/>
          <w:szCs w:val="21"/>
        </w:rPr>
        <w:t xml:space="preserve">Objetivo de la fase: construir la distinción central entre el modelo del déficit y la mirada de la escolaridad, y reconocer el mecanismo que transforma la sospecha en destino.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6340"/>
      </w:tblGrid>
      <w:tr>
        <w:trPr>
          <w:tblHeader/>
        </w:trPr>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Tiempo</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Actividad</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Descripción</w:t>
            </w:r>
          </w:p>
        </w:tc>
      </w:tr>
      <w:tr>
        <w:tc>
          <w:tcPr>
            <w:gridSpan w:val="3"/>
            <w:shd w:fill="E3E6CF" w:val="clear"/>
            <w:tcMar>
              <w:top w:type="dxa" w:w="70"/>
              <w:left w:type="dxa" w:w="130"/>
              <w:bottom w:type="dxa" w:w="70"/>
              <w:right w:type="dxa" w:w="130"/>
            </w:tcMar>
          </w:tcPr>
          <w:p>
            <w:r>
              <w:rPr>
                <w:rFonts w:ascii="Calibri" w:cs="Calibri" w:eastAsia="Calibri" w:hAnsi="Calibri"/>
                <w:b/>
                <w:bCs/>
                <w:color w:val="5A6440"/>
                <w:sz w:val="22"/>
                <w:szCs w:val="22"/>
              </w:rPr>
              <w:t xml:space="preserve">BLOQUE A · Del alumno que falla al sistema que produce fracaso (min 12–22)</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12–16</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El invento del «alumno que no aprende»</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Narración breve: cuando la escuela primaria se masifica (fines del siglo XIX y comienzos del XX), aparecer por primera vez es posible «fracasar»: antes, quien no seguía en la escuela sencillamente estaba afuera. Primera respuesta institucional: buscar la causa dentro del alumno — medición de capacidades, pedagogía terapéutica, teorías del déficit cultural. El fracaso como excepción estadística.</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16–22</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Terigi: el fracaso masivo cambia la pregunta</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Cuando el fracaso se vuelve masivo, ya no puede explicarse como suma de casos individuales: si «fallan» muchos, la variable explicativa deja de ser el chico. Cambio de unidad de análisis: de los atributos del alumno a la escolaridad misma. Terigi: trayectorias teóricas vs. trayectorias reales; repetición, sobreedad y abandono como vías por las que el sistema expulsa — y distribución social del fracaso según origen.</w:t>
            </w:r>
          </w:p>
        </w:tc>
      </w:tr>
      <w:tr>
        <w:tc>
          <w:tcPr>
            <w:gridSpan w:val="3"/>
            <w:shd w:fill="E3E6CF" w:val="clear"/>
            <w:tcMar>
              <w:top w:type="dxa" w:w="70"/>
              <w:left w:type="dxa" w:w="130"/>
              <w:bottom w:type="dxa" w:w="70"/>
              <w:right w:type="dxa" w:w="130"/>
            </w:tcMar>
          </w:tcPr>
          <w:p>
            <w:r>
              <w:rPr>
                <w:rFonts w:ascii="Calibri" w:cs="Calibri" w:eastAsia="Calibri" w:hAnsi="Calibri"/>
                <w:b/>
                <w:bCs/>
                <w:color w:val="5A6440"/>
                <w:sz w:val="22"/>
                <w:szCs w:val="22"/>
              </w:rPr>
              <w:t xml:space="preserve">BLOQUE B · Las sospechas sobre la educabilidad (min 22–30)</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22–27</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El discurso del déficit</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Cómo operan las sospechas: «vienen sin estimulación», «su familia no acompaña», «no tienen capacidad». Presentación del mecanismo performativo: sospecha → bajas expectativas → menos desafíos y menos oportunidades → resultados pobres → «está demostrado: no podía». Conexión explícita con Pygmalión (Clase 11) y con el círculo motivación–logro–reconocimiento. Baquero: la sospecha naturaliza aquello que la propia escolaridad produce.</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27–30</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Distinción innegociable</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Educabilidad NO es un atributo fijo de los sujetos: es una relación entre un sujeto y una oferta de enseñanza. Fracasar en una sala no equivale a fracasar en otra: cambian las condiciones, cambia el resultado.</w:t>
            </w:r>
          </w:p>
        </w:tc>
      </w:tr>
      <w:tr>
        <w:tc>
          <w:tcPr>
            <w:gridSpan w:val="3"/>
            <w:shd w:fill="E3E6CF" w:val="clear"/>
            <w:tcMar>
              <w:top w:type="dxa" w:w="70"/>
              <w:left w:type="dxa" w:w="130"/>
              <w:bottom w:type="dxa" w:w="70"/>
              <w:right w:type="dxa" w:w="130"/>
            </w:tcMar>
          </w:tcPr>
          <w:p>
            <w:r>
              <w:rPr>
                <w:rFonts w:ascii="Calibri" w:cs="Calibri" w:eastAsia="Calibri" w:hAnsi="Calibri"/>
                <w:b/>
                <w:bCs/>
                <w:color w:val="5A6440"/>
                <w:sz w:val="22"/>
                <w:szCs w:val="22"/>
              </w:rPr>
              <w:t xml:space="preserve">CHECKPOINT FORMATIVO · HINGE QUESTION (min 30–35)</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30–35</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Hinge question (voto con dedos)</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Caso Micaela: «Micaela, de 5 años, “no se concentra”: su carpeta dice “difícultades atencionales”. La maestra nueva observa que sostiene 40 minutos en el proyecto de huerta». ¿Qué lectura explica mejor lo observado? A) Micaela tiene un déficit que solo aparece en algunas actividades · B) La “falta de concentración” es propiedad de la situación didáctica: hay actividades que la instalan y otras que no · C) Micaela solo trabaja bien al aire libre · D) La carpeta demuestra que el problema es de origen familiar. Lectura lenta, 3 segundos de silencio, voto con dedos. Correcta: B. Devolución completa en la Fase 4.</w:t>
            </w:r>
          </w:p>
        </w:tc>
      </w:tr>
    </w:tbl>
    <w:p>
      <w:pPr>
        <w:spacing w:after="160" w:before="60"/>
      </w:pPr>
      <w:r>
        <w:rPr>
          <w:rFonts w:ascii="Calibri" w:cs="Calibri" w:eastAsia="Calibri" w:hAnsi="Calibri"/>
          <w:i/>
          <w:iCs/>
          <w:color w:val="6B7280"/>
          <w:sz w:val="21"/>
          <w:szCs w:val="21"/>
        </w:rPr>
        <w:t xml:space="preserve">Materiales: diapositivas 6–11 (incluye la línea histórica y el círculo de la sospecha); material de lectura Clase 14.</w:t>
      </w:r>
    </w:p>
    <w:p>
      <w:pPr>
        <w:spacing w:after="100" w:before="260"/>
      </w:pPr>
      <w:r>
        <w:rPr>
          <w:rFonts w:ascii="Calibri" w:cs="Calibri" w:eastAsia="Calibri" w:hAnsi="Calibri"/>
          <w:b/>
          <w:bCs/>
          <w:color w:val="C4633E"/>
          <w:sz w:val="24"/>
          <w:szCs w:val="24"/>
        </w:rPr>
        <w:t xml:space="preserve">Fase 3: Profundización — De la evaluación de capacidad a la construcción de posibilidad (33 min)</w:t>
      </w:r>
    </w:p>
    <w:p>
      <w:pPr>
        <w:spacing w:after="100"/>
      </w:pPr>
      <w:r>
        <w:rPr>
          <w:rFonts w:ascii="Calibri" w:cs="Calibri" w:eastAsia="Calibri" w:hAnsi="Calibri"/>
          <w:i/>
          <w:iCs/>
          <w:color w:val="6B7280"/>
          <w:sz w:val="21"/>
          <w:szCs w:val="21"/>
        </w:rPr>
        <w:t xml:space="preserve">Objetivo de la fase: aplicar el desplazamiento conceptual sobre situaciones escolares reales: diagnosticar la atribución, identificar las condiciones que la producen y rediseñar una de ellas.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6340"/>
      </w:tblGrid>
      <w:tr>
        <w:trPr>
          <w:tblHeader/>
        </w:trPr>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Tiempo</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Actividad</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Descripción</w:t>
            </w:r>
          </w:p>
        </w:tc>
      </w:tr>
      <w:tr>
        <w:tc>
          <w:tcPr>
            <w:gridSpan w:val="3"/>
            <w:shd w:fill="E3E6CF" w:val="clear"/>
            <w:tcMar>
              <w:top w:type="dxa" w:w="70"/>
              <w:left w:type="dxa" w:w="130"/>
              <w:bottom w:type="dxa" w:w="70"/>
              <w:right w:type="dxa" w:w="130"/>
            </w:tcMar>
          </w:tcPr>
          <w:p>
            <w:r>
              <w:rPr>
                <w:rFonts w:ascii="Calibri" w:cs="Calibri" w:eastAsia="Calibri" w:hAnsi="Calibri"/>
                <w:b/>
                <w:bCs/>
                <w:color w:val="5A6440"/>
                <w:sz w:val="22"/>
                <w:szCs w:val="22"/>
              </w:rPr>
              <w:t xml:space="preserve">BLOQUE C · Educabilidad como propiedad de las situaciones (min 35–45)</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35–41</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La reformulación de Baquero</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De la pregunta «¿este niño puede aprender?» a la pregunta «¿bajo qué condiciones aprende este niño?». Construcción de posibilidad: diseñar condiciones didácticas, vinculares e institucionales bajo las cuales el aprendizaje se vuelve posible. Anclaje con el caso Micaela (huerta): qué condiciones instalaba ese proyecto que la ficha de actividades no instalaba. Conexión con oficio de alumno y demandas cognitivas: a veces lo que llamamos «incapacidad» es desconocimiento del oficio que la escuela exige.</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41–45</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Presentación de la actividad</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Se presentan tres situaciones impresas (una por mesa) y el protocolo de análisis en tres pasos: (a) nombrar la atribución/rótulo que opera; (b) identificar qué condiciones de la situación están produciendo o manteniendo el problema; (c) rediseñar UNA condición concreta — didáctica, vincular u organizacional.</w:t>
            </w:r>
          </w:p>
        </w:tc>
      </w:tr>
      <w:tr>
        <w:tc>
          <w:tcPr>
            <w:gridSpan w:val="3"/>
            <w:shd w:fill="E3E6CF" w:val="clear"/>
            <w:tcMar>
              <w:top w:type="dxa" w:w="70"/>
              <w:left w:type="dxa" w:w="130"/>
              <w:bottom w:type="dxa" w:w="70"/>
              <w:right w:type="dxa" w:w="130"/>
            </w:tcMar>
          </w:tcPr>
          <w:p>
            <w:r>
              <w:rPr>
                <w:rFonts w:ascii="Calibri" w:cs="Calibri" w:eastAsia="Calibri" w:hAnsi="Calibri"/>
                <w:b/>
                <w:bCs/>
                <w:color w:val="5A6440"/>
                <w:sz w:val="22"/>
                <w:szCs w:val="22"/>
              </w:rPr>
              <w:t xml:space="preserve">TRABAJO EN MESAS · Auditoría de situaciones (min 45–58)</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45–58</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Análisis y rediseño en mesas (13 min)</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Situación 1 — «El que no sigue»: Mateo, 5 años, “nunca atiende en la asamblea”; pero explica paso a paso cómo reparó el carrito del patio. Situación 2 — «La lenta»: Valentina tarda el doble que sus compañeros; la maestra le acorta consignas y le da fichas más fáciles; cada vez participa menos. Situación 3 — «Al que igual no llaman»: Tomás falta seguido; en la carpeta dice “desinterés familiar”; nadie lo propone para el juego dramático “porque seguro no sabe”. Temporizador visible; circulación docente con preguntas: ¿qué parte del problema está en el chico y qué parte en la oferta?</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58–63</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Puesta en común relámpago</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Una voz por mesa presenta solo el rediseño (1 min cada una). La docente registra en el afiche la matriz colectiva «de rótulos a condiciones»: rótulo original → condición identificada → condición rediseñada.</w:t>
            </w:r>
          </w:p>
        </w:tc>
      </w:tr>
    </w:tbl>
    <w:p>
      <w:pPr>
        <w:spacing w:after="160" w:before="60"/>
      </w:pPr>
      <w:r>
        <w:rPr>
          <w:rFonts w:ascii="Calibri" w:cs="Calibri" w:eastAsia="Calibri" w:hAnsi="Calibri"/>
          <w:i/>
          <w:iCs/>
          <w:color w:val="6B7280"/>
          <w:sz w:val="21"/>
          <w:szCs w:val="21"/>
        </w:rPr>
        <w:t xml:space="preserve">Materiales: tarjetas de situaciones impresas (una tanda por mesa); papel afiche con matriz «de rótulos a condiciones»; diapositivas 12–15.</w:t>
      </w:r>
    </w:p>
    <w:p>
      <w:pPr>
        <w:spacing w:after="100" w:before="260"/>
      </w:pPr>
      <w:r>
        <w:rPr>
          <w:rFonts w:ascii="Calibri" w:cs="Calibri" w:eastAsia="Calibri" w:hAnsi="Calibri"/>
          <w:b/>
          <w:bCs/>
          <w:color w:val="C4633E"/>
          <w:sz w:val="24"/>
          <w:szCs w:val="24"/>
        </w:rPr>
        <w:t xml:space="preserve">Fase 4: Cierre — Verificar, sintetizar y proyectar (17 min)</w:t>
      </w:r>
    </w:p>
    <w:p>
      <w:pPr>
        <w:spacing w:after="100"/>
      </w:pPr>
      <w:r>
        <w:rPr>
          <w:rFonts w:ascii="Calibri" w:cs="Calibri" w:eastAsia="Calibri" w:hAnsi="Calibri"/>
          <w:i/>
          <w:iCs/>
          <w:color w:val="6B7280"/>
          <w:sz w:val="21"/>
          <w:szCs w:val="21"/>
        </w:rPr>
        <w:t xml:space="preserve">Objetivo de la fase: devolver el checkpoint, co-construir las ideas fuerza y activar la tarea integradora que alimenta el examen final.</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6340"/>
      </w:tblGrid>
      <w:tr>
        <w:trPr>
          <w:tblHeader/>
        </w:trPr>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Tiempo</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Actividad</w:t>
            </w:r>
          </w:p>
        </w:tc>
        <w:tc>
          <w:tcPr>
            <w:tcW w:type="dxa" w:w="0"/>
            <w:shd w:fill="22334D" w:val="clear"/>
            <w:tcMar>
              <w:top w:type="dxa" w:w="90"/>
              <w:left w:type="dxa" w:w="130"/>
              <w:bottom w:type="dxa" w:w="90"/>
              <w:right w:type="dxa" w:w="130"/>
            </w:tcMar>
          </w:tcPr>
          <w:p>
            <w:r>
              <w:rPr>
                <w:rFonts w:ascii="Calibri" w:cs="Calibri" w:eastAsia="Calibri" w:hAnsi="Calibri"/>
                <w:b/>
                <w:bCs/>
                <w:color w:val="FFFFFF"/>
                <w:sz w:val="22"/>
                <w:szCs w:val="22"/>
              </w:rPr>
              <w:t xml:space="preserve">Descripción</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63–68</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Devolución del hinge + síntesis parcial</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Reconteo de votos y discusión breve. Correcta: B — el mismo atributo «no se concentra» convive con 40 minutos sostenidos cuando la situación didáctica lo posibilita. Reconstrucción conjunta del círculo de la sospecha y de su reverso: expectativa alta + condiciones diseñadas → oportunidad → logro visible → nueva expectativa fundada.</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68–75</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Síntesis co-construida</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Ideas fuerza reconstruidas con aportes: 1) El fracaso escolar es un concepto histórico: existe donde la escuela obliga a rendir cuentas a todos. 2) Masivo, el fracaso ya no se explica por déficits individuales: se explica por la escolaridad. 3) La sospecha sobre la educabilidad se autocumple. 4) Educabilidad = propiedad de la situación, no atributo del sujeto. 5) Nuestro oficio: de evaluar capacidades a construir posibilidades.</w:t>
            </w:r>
          </w:p>
        </w:tc>
      </w:tr>
      <w:tr>
        <w:tc>
          <w:tcPr>
            <w:tcW w:type="dxa" w:w="1250"/>
            <w:shd w:fill="FDFAF3" w:val="clear"/>
            <w:tcMar>
              <w:top w:type="dxa" w:w="90"/>
              <w:left w:type="dxa" w:w="130"/>
              <w:bottom w:type="dxa" w:w="90"/>
              <w:right w:type="dxa" w:w="130"/>
            </w:tcMar>
          </w:tcPr>
          <w:p>
            <w:r>
              <w:rPr>
                <w:rFonts w:ascii="Calibri" w:cs="Calibri" w:eastAsia="Calibri" w:hAnsi="Calibri"/>
                <w:b/>
                <w:bCs/>
                <w:sz w:val="22"/>
                <w:szCs w:val="22"/>
              </w:rPr>
              <w:t xml:space="preserve">75–80</w:t>
            </w:r>
          </w:p>
        </w:tc>
        <w:tc>
          <w:tcPr>
            <w:tcW w:type="dxa" w:w="2150"/>
            <w:shd w:fill="F3E0D6" w:val="clear"/>
            <w:tcMar>
              <w:top w:type="dxa" w:w="90"/>
              <w:left w:type="dxa" w:w="130"/>
              <w:bottom w:type="dxa" w:w="90"/>
              <w:right w:type="dxa" w:w="130"/>
            </w:tcMar>
          </w:tcPr>
          <w:p>
            <w:r>
              <w:rPr>
                <w:rFonts w:ascii="Calibri" w:cs="Calibri" w:eastAsia="Calibri" w:hAnsi="Calibri"/>
                <w:b/>
                <w:bCs/>
                <w:sz w:val="22"/>
                <w:szCs w:val="22"/>
              </w:rPr>
              <w:t xml:space="preserve">Consigna final integradora</w:t>
            </w:r>
          </w:p>
        </w:tc>
        <w:tc>
          <w:tcPr>
            <w:tcW w:type="dxa" w:w="6340"/>
            <w:shd w:fill="FFFFFF" w:val="clear"/>
            <w:tcMar>
              <w:top w:type="dxa" w:w="90"/>
              <w:left w:type="dxa" w:w="130"/>
              <w:bottom w:type="dxa" w:w="90"/>
              <w:right w:type="dxa" w:w="130"/>
            </w:tcMar>
          </w:tcPr>
          <w:p>
            <w:pPr>
              <w:spacing w:after="0"/>
            </w:pPr>
            <w:r>
              <w:rPr>
                <w:rFonts w:ascii="Calibri" w:cs="Calibri" w:eastAsia="Calibri" w:hAnsi="Calibri"/>
                <w:sz w:val="22"/>
                <w:szCs w:val="22"/>
              </w:rPr>
              <w:t xml:space="preserve">Proyección y lectura conjunta: «Elegí UNA situación escolar real que hayas vivido u observado donde un chico haya sido rotulado como “problema”. Reescribila en dos versiones: (1) qué explicaba la situación si el problema era el chico; (2) qué la explica si el problema son las condiciones de la situación». Máximo 1 carilla. Es insumo directo para el examen final oral. Gancho: «la escuela que recibimos la heredamos; la que vamos a tener a cargo, la diseñamos nosotras».</w:t>
            </w:r>
          </w:p>
        </w:tc>
      </w:tr>
    </w:tbl>
    <w:p>
      <w:pPr>
        <w:spacing w:after="160" w:before="60"/>
      </w:pPr>
      <w:r>
        <w:rPr>
          <w:rFonts w:ascii="Calibri" w:cs="Calibri" w:eastAsia="Calibri" w:hAnsi="Calibri"/>
          <w:i/>
          <w:iCs/>
          <w:color w:val="6B7280"/>
          <w:sz w:val="21"/>
          <w:szCs w:val="21"/>
        </w:rPr>
        <w:t xml:space="preserve">Materiales: diapositivas 16–18; hojas para la tarea integradora.</w:t>
      </w:r>
    </w:p>
    <w:p>
      <w:pPr>
        <w:spacing w:after="120" w:before="300"/>
      </w:pPr>
      <w:r>
        <w:rPr>
          <w:rFonts w:ascii="Calibri" w:cs="Calibri" w:eastAsia="Calibri" w:hAnsi="Calibri"/>
          <w:b/>
          <w:bCs/>
          <w:color w:val="22334D"/>
          <w:sz w:val="26"/>
          <w:szCs w:val="26"/>
        </w:rPr>
        <w:t xml:space="preserve">Materiales necesarios</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Presentación de la Clase 14 (proyector o pizarrón): diapositivas con momentos interactivos.</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Material de lectura Clase 14 (PDF publicado previamente en Classroom; HTML interactivo online).</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Tarjetas de situaciones impresas: una por mesa (7 tandas).</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Papel afiche o pizarrón para la matriz «de rótulos a condiciones» (se fotografía al cierre y se comparte en Classroom).</w:t>
      </w:r>
    </w:p>
    <w:p>
      <w:pPr>
        <w:spacing w:after="80"/>
        <w:ind w:left="240"/>
      </w:pPr>
      <w:r>
        <w:rPr>
          <w:rFonts w:ascii="Calibri" w:cs="Calibri" w:eastAsia="Calibri" w:hAnsi="Calibri"/>
          <w:b/>
          <w:bCs/>
          <w:color w:val="C4633E"/>
          <w:sz w:val="22"/>
          <w:szCs w:val="22"/>
        </w:rPr>
        <w:t xml:space="preserve">•  </w:t>
      </w:r>
      <w:r>
        <w:rPr>
          <w:rFonts w:ascii="Calibri" w:cs="Calibri" w:eastAsia="Calibri" w:hAnsi="Calibri"/>
          <w:sz w:val="22"/>
          <w:szCs w:val="22"/>
        </w:rPr>
        <w:t xml:space="preserve">Escrituras puente de la Clase 13 (traídas por las estudiantes).</w:t>
      </w:r>
    </w:p>
    <w:p>
      <w:pPr>
        <w:spacing w:after="120" w:before="300"/>
      </w:pPr>
      <w:r>
        <w:rPr>
          <w:rFonts w:ascii="Calibri" w:cs="Calibri" w:eastAsia="Calibri" w:hAnsi="Calibri"/>
          <w:b/>
          <w:bCs/>
          <w:color w:val="22334D"/>
          <w:sz w:val="26"/>
          <w:szCs w:val="26"/>
        </w:rPr>
        <w:t xml:space="preserve">Evaluación formativa</w:t>
      </w:r>
    </w:p>
    <w:p>
      <w:pPr>
        <w:spacing w:after="100"/>
      </w:pPr>
      <w:r>
        <w:rPr>
          <w:rFonts w:ascii="Calibri" w:cs="Calibri" w:eastAsia="Calibri" w:hAnsi="Calibri"/>
          <w:sz w:val="22"/>
          <w:szCs w:val="22"/>
        </w:rPr>
        <w:t xml:space="preserve">Momentos de verificación integrados al desarrollo de la clase: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740"/>
      </w:tblGrid>
      <w:tr>
        <w:trPr>
          <w:tblHeader/>
        </w:trPr>
        <w:tc>
          <w:tcPr>
            <w:tcW w:type="auto" w:w="0"/>
            <w:shd w:fill="22334D" w:val="clear"/>
            <w:tcMar>
              <w:top w:type="dxa" w:w="80"/>
              <w:left w:type="dxa" w:w="130"/>
              <w:bottom w:type="dxa" w:w="80"/>
              <w:right w:type="dxa" w:w="130"/>
            </w:tcMar>
          </w:tcPr>
          <w:p>
            <w:r>
              <w:rPr>
                <w:rFonts w:ascii="Calibri" w:cs="Calibri" w:eastAsia="Calibri" w:hAnsi="Calibri"/>
                <w:b/>
                <w:bCs/>
                <w:color w:val="FFFFFF"/>
                <w:sz w:val="22"/>
                <w:szCs w:val="22"/>
              </w:rPr>
              <w:t xml:space="preserve">Momento</w:t>
            </w:r>
          </w:p>
        </w:tc>
        <w:tc>
          <w:tcPr>
            <w:tcW w:type="auto" w:w="0"/>
            <w:shd w:fill="22334D" w:val="clear"/>
            <w:tcMar>
              <w:top w:type="dxa" w:w="80"/>
              <w:left w:type="dxa" w:w="130"/>
              <w:bottom w:type="dxa" w:w="80"/>
              <w:right w:type="dxa" w:w="130"/>
            </w:tcMar>
          </w:tcPr>
          <w:p>
            <w:r>
              <w:rPr>
                <w:rFonts w:ascii="Calibri" w:cs="Calibri" w:eastAsia="Calibri" w:hAnsi="Calibri"/>
                <w:b/>
                <w:bCs/>
                <w:color w:val="FFFFFF"/>
                <w:sz w:val="22"/>
                <w:szCs w:val="22"/>
              </w:rPr>
              <w:t xml:space="preserve">Técnica</w:t>
            </w:r>
          </w:p>
        </w:tc>
        <w:tc>
          <w:tcPr>
            <w:tcW w:type="auto" w:w="0"/>
            <w:shd w:fill="22334D" w:val="clear"/>
            <w:tcMar>
              <w:top w:type="dxa" w:w="80"/>
              <w:left w:type="dxa" w:w="130"/>
              <w:bottom w:type="dxa" w:w="80"/>
              <w:right w:type="dxa" w:w="130"/>
            </w:tcMar>
          </w:tcPr>
          <w:p>
            <w:r>
              <w:rPr>
                <w:rFonts w:ascii="Calibri" w:cs="Calibri" w:eastAsia="Calibri" w:hAnsi="Calibri"/>
                <w:b/>
                <w:bCs/>
                <w:color w:val="FFFFFF"/>
                <w:sz w:val="22"/>
                <w:szCs w:val="22"/>
              </w:rPr>
              <w:t xml:space="preserve">Qué evalúa</w:t>
            </w:r>
          </w:p>
        </w:tc>
      </w:tr>
      <w:tr>
        <w:tc>
          <w:tcPr>
            <w:tcW w:type="dxa" w:w="2600"/>
            <w:shd w:fill="F3E0D6" w:val="clear"/>
            <w:tcMar>
              <w:top w:type="dxa" w:w="90"/>
              <w:left w:type="dxa" w:w="130"/>
              <w:bottom w:type="dxa" w:w="90"/>
              <w:right w:type="dxa" w:w="130"/>
            </w:tcMar>
          </w:tcPr>
          <w:p>
            <w:r>
              <w:rPr>
                <w:rFonts w:ascii="Calibri" w:cs="Calibri" w:eastAsia="Calibri" w:hAnsi="Calibri"/>
                <w:b/>
                <w:bCs/>
                <w:sz w:val="22"/>
                <w:szCs w:val="22"/>
              </w:rPr>
              <w:t xml:space="preserve">Min 0–9 (Do Now + parejas)</w:t>
            </w:r>
          </w:p>
        </w:tc>
        <w:tc>
          <w:tcPr>
            <w:tcW w:type="dxa" w:w="2400"/>
            <w:shd w:fill="FFFFFF" w:val="clear"/>
            <w:tcMar>
              <w:top w:type="dxa" w:w="90"/>
              <w:left w:type="dxa" w:w="130"/>
              <w:bottom w:type="dxa" w:w="90"/>
              <w:right w:type="dxa" w:w="130"/>
            </w:tcMar>
          </w:tcPr>
          <w:p>
            <w:r>
              <w:rPr>
                <w:rFonts w:ascii="Calibri" w:cs="Calibri" w:eastAsia="Calibri" w:hAnsi="Calibri"/>
                <w:b/>
                <w:bCs/>
                <w:sz w:val="22"/>
                <w:szCs w:val="22"/>
              </w:rPr>
              <w:t xml:space="preserve">Relectura y frase común</w:t>
            </w:r>
          </w:p>
        </w:tc>
        <w:tc>
          <w:tcPr>
            <w:tcW w:type="dxa" w:w="4740"/>
            <w:shd w:fill="FFFFFF" w:val="clear"/>
            <w:tcMar>
              <w:top w:type="dxa" w:w="90"/>
              <w:left w:type="dxa" w:w="130"/>
              <w:bottom w:type="dxa" w:w="90"/>
              <w:right w:type="dxa" w:w="130"/>
            </w:tcMar>
          </w:tcPr>
          <w:p>
            <w:r>
              <w:rPr>
                <w:rFonts w:ascii="Calibri" w:cs="Calibri" w:eastAsia="Calibri" w:hAnsi="Calibri"/>
                <w:sz w:val="22"/>
                <w:szCs w:val="22"/>
              </w:rPr>
              <w:t xml:space="preserve">¿Recuperan capacidades concretas detrás de la etiqueta, o repiten el rótulo?</w:t>
            </w:r>
          </w:p>
        </w:tc>
      </w:tr>
      <w:tr>
        <w:tc>
          <w:tcPr>
            <w:tcW w:type="dxa" w:w="2600"/>
            <w:shd w:fill="F3E0D6" w:val="clear"/>
            <w:tcMar>
              <w:top w:type="dxa" w:w="90"/>
              <w:left w:type="dxa" w:w="130"/>
              <w:bottom w:type="dxa" w:w="90"/>
              <w:right w:type="dxa" w:w="130"/>
            </w:tcMar>
          </w:tcPr>
          <w:p>
            <w:r>
              <w:rPr>
                <w:rFonts w:ascii="Calibri" w:cs="Calibri" w:eastAsia="Calibri" w:hAnsi="Calibri"/>
                <w:b/>
                <w:bCs/>
                <w:sz w:val="22"/>
                <w:szCs w:val="22"/>
              </w:rPr>
              <w:t xml:space="preserve">Min 30–35 (hinge question)</w:t>
            </w:r>
          </w:p>
        </w:tc>
        <w:tc>
          <w:tcPr>
            <w:tcW w:type="dxa" w:w="2400"/>
            <w:shd w:fill="FFFFFF" w:val="clear"/>
            <w:tcMar>
              <w:top w:type="dxa" w:w="90"/>
              <w:left w:type="dxa" w:w="130"/>
              <w:bottom w:type="dxa" w:w="90"/>
              <w:right w:type="dxa" w:w="130"/>
            </w:tcMar>
          </w:tcPr>
          <w:p>
            <w:r>
              <w:rPr>
                <w:rFonts w:ascii="Calibri" w:cs="Calibri" w:eastAsia="Calibri" w:hAnsi="Calibri"/>
                <w:b/>
                <w:bCs/>
                <w:sz w:val="22"/>
                <w:szCs w:val="22"/>
              </w:rPr>
              <w:t xml:space="preserve">Voto con dedos (A–D)</w:t>
            </w:r>
          </w:p>
        </w:tc>
        <w:tc>
          <w:tcPr>
            <w:tcW w:type="dxa" w:w="4740"/>
            <w:shd w:fill="FFFFFF" w:val="clear"/>
            <w:tcMar>
              <w:top w:type="dxa" w:w="90"/>
              <w:left w:type="dxa" w:w="130"/>
              <w:bottom w:type="dxa" w:w="90"/>
              <w:right w:type="dxa" w:w="130"/>
            </w:tcMar>
          </w:tcPr>
          <w:p>
            <w:r>
              <w:rPr>
                <w:rFonts w:ascii="Calibri" w:cs="Calibri" w:eastAsia="Calibri" w:hAnsi="Calibri"/>
                <w:sz w:val="22"/>
                <w:szCs w:val="22"/>
              </w:rPr>
              <w:t xml:space="preserve">¿Comprendieron el desplazamiento de atributo del sujeto a propiedad de la situación?</w:t>
            </w:r>
          </w:p>
        </w:tc>
      </w:tr>
      <w:tr>
        <w:tc>
          <w:tcPr>
            <w:tcW w:type="dxa" w:w="2600"/>
            <w:shd w:fill="F3E0D6" w:val="clear"/>
            <w:tcMar>
              <w:top w:type="dxa" w:w="90"/>
              <w:left w:type="dxa" w:w="130"/>
              <w:bottom w:type="dxa" w:w="90"/>
              <w:right w:type="dxa" w:w="130"/>
            </w:tcMar>
          </w:tcPr>
          <w:p>
            <w:r>
              <w:rPr>
                <w:rFonts w:ascii="Calibri" w:cs="Calibri" w:eastAsia="Calibri" w:hAnsi="Calibri"/>
                <w:b/>
                <w:bCs/>
                <w:sz w:val="22"/>
                <w:szCs w:val="22"/>
              </w:rPr>
              <w:t xml:space="preserve">Min 45–58 (mesas)</w:t>
            </w:r>
          </w:p>
        </w:tc>
        <w:tc>
          <w:tcPr>
            <w:tcW w:type="dxa" w:w="2400"/>
            <w:shd w:fill="FFFFFF" w:val="clear"/>
            <w:tcMar>
              <w:top w:type="dxa" w:w="90"/>
              <w:left w:type="dxa" w:w="130"/>
              <w:bottom w:type="dxa" w:w="90"/>
              <w:right w:type="dxa" w:w="130"/>
            </w:tcMar>
          </w:tcPr>
          <w:p>
            <w:r>
              <w:rPr>
                <w:rFonts w:ascii="Calibri" w:cs="Calibri" w:eastAsia="Calibri" w:hAnsi="Calibri"/>
                <w:b/>
                <w:bCs/>
                <w:sz w:val="22"/>
                <w:szCs w:val="22"/>
              </w:rPr>
              <w:t xml:space="preserve">Protocolo escrito de análisis</w:t>
            </w:r>
          </w:p>
        </w:tc>
        <w:tc>
          <w:tcPr>
            <w:tcW w:type="dxa" w:w="4740"/>
            <w:shd w:fill="FFFFFF" w:val="clear"/>
            <w:tcMar>
              <w:top w:type="dxa" w:w="90"/>
              <w:left w:type="dxa" w:w="130"/>
              <w:bottom w:type="dxa" w:w="90"/>
              <w:right w:type="dxa" w:w="130"/>
            </w:tcMar>
          </w:tcPr>
          <w:p>
            <w:r>
              <w:rPr>
                <w:rFonts w:ascii="Calibri" w:cs="Calibri" w:eastAsia="Calibri" w:hAnsi="Calibri"/>
                <w:sz w:val="22"/>
                <w:szCs w:val="22"/>
              </w:rPr>
              <w:t xml:space="preserve">¿Identifican atribución, condiciones productoras y proponen un rediseño específico (y no consejos genéricos tipo “tener más paciencia”)?</w:t>
            </w:r>
          </w:p>
        </w:tc>
      </w:tr>
      <w:tr>
        <w:tc>
          <w:tcPr>
            <w:tcW w:type="dxa" w:w="2600"/>
            <w:shd w:fill="F3E0D6" w:val="clear"/>
            <w:tcMar>
              <w:top w:type="dxa" w:w="90"/>
              <w:left w:type="dxa" w:w="130"/>
              <w:bottom w:type="dxa" w:w="90"/>
              <w:right w:type="dxa" w:w="130"/>
            </w:tcMar>
          </w:tcPr>
          <w:p>
            <w:r>
              <w:rPr>
                <w:rFonts w:ascii="Calibri" w:cs="Calibri" w:eastAsia="Calibri" w:hAnsi="Calibri"/>
                <w:b/>
                <w:bCs/>
                <w:sz w:val="22"/>
                <w:szCs w:val="22"/>
              </w:rPr>
              <w:t xml:space="preserve">Min 58–63 (puesta en común)</w:t>
            </w:r>
          </w:p>
        </w:tc>
        <w:tc>
          <w:tcPr>
            <w:tcW w:type="dxa" w:w="2400"/>
            <w:shd w:fill="FFFFFF" w:val="clear"/>
            <w:tcMar>
              <w:top w:type="dxa" w:w="90"/>
              <w:left w:type="dxa" w:w="130"/>
              <w:bottom w:type="dxa" w:w="90"/>
              <w:right w:type="dxa" w:w="130"/>
            </w:tcMar>
          </w:tcPr>
          <w:p>
            <w:r>
              <w:rPr>
                <w:rFonts w:ascii="Calibri" w:cs="Calibri" w:eastAsia="Calibri" w:hAnsi="Calibri"/>
                <w:b/>
                <w:bCs/>
                <w:sz w:val="22"/>
                <w:szCs w:val="22"/>
              </w:rPr>
              <w:t xml:space="preserve">Presentación oral breve</w:t>
            </w:r>
          </w:p>
        </w:tc>
        <w:tc>
          <w:tcPr>
            <w:tcW w:type="dxa" w:w="4740"/>
            <w:shd w:fill="FFFFFF" w:val="clear"/>
            <w:tcMar>
              <w:top w:type="dxa" w:w="90"/>
              <w:left w:type="dxa" w:w="130"/>
              <w:bottom w:type="dxa" w:w="90"/>
              <w:right w:type="dxa" w:w="130"/>
            </w:tcMar>
          </w:tcPr>
          <w:p>
            <w:r>
              <w:rPr>
                <w:rFonts w:ascii="Calibri" w:cs="Calibri" w:eastAsia="Calibri" w:hAnsi="Calibri"/>
                <w:sz w:val="22"/>
                <w:szCs w:val="22"/>
              </w:rPr>
              <w:t xml:space="preserve">¿Explican el rediseño en términos de condiciones y no de cualidades del niño?</w:t>
            </w:r>
          </w:p>
        </w:tc>
      </w:tr>
    </w:tbl>
    <w:p>
      <w:pPr>
        <w:spacing w:after="120" w:before="300"/>
      </w:pPr>
      <w:r>
        <w:rPr>
          <w:rFonts w:ascii="Calibri" w:cs="Calibri" w:eastAsia="Calibri" w:hAnsi="Calibri"/>
          <w:b/>
          <w:bCs/>
          <w:color w:val="22334D"/>
          <w:sz w:val="26"/>
          <w:szCs w:val="26"/>
        </w:rPr>
        <w:t xml:space="preserve">Para después de esta clase</w:t>
      </w:r>
    </w:p>
    <w:p>
      <w:r>
        <w:rPr>
          <w:rFonts w:ascii="Calibri" w:cs="Calibri" w:eastAsia="Calibri" w:hAnsi="Calibri"/>
          <w:b/>
          <w:bCs/>
          <w:sz w:val="22"/>
          <w:szCs w:val="22"/>
        </w:rPr>
        <w:t xml:space="preserve">Tarea integradora (1 carilla): </w:t>
      </w:r>
      <w:r>
        <w:rPr>
          <w:rFonts w:ascii="Calibri" w:cs="Calibri" w:eastAsia="Calibri" w:hAnsi="Calibri"/>
          <w:sz w:val="22"/>
          <w:szCs w:val="22"/>
        </w:rPr>
        <w:t xml:space="preserve">reescritura de una situación real en dos versiones (problema-en-el-chico vs. problema-en-las-condiciones). Es insumo directo para el examen final oral: recordarles guardarla junto con las escrituras puente anteriores, que juntas forman un recorrido reflexivo completo de la materia.</w:t>
      </w:r>
    </w:p>
    <w:p>
      <w:pPr>
        <w:spacing w:before="120"/>
      </w:pPr>
      <w:r>
        <w:rPr>
          <w:rFonts w:ascii="Calibri" w:cs="Calibri" w:eastAsia="Calibri" w:hAnsi="Calibri"/>
          <w:i/>
          <w:iCs/>
          <w:color w:val="6B7280"/>
          <w:sz w:val="21"/>
          <w:szCs w:val="21"/>
        </w:rPr>
        <w:t xml:space="preserve">Nota de recorte didáctico: </w:t>
      </w:r>
      <w:r>
        <w:rPr>
          <w:rFonts w:ascii="Calibri" w:cs="Calibri" w:eastAsia="Calibri" w:hAnsi="Calibri"/>
          <w:i/>
          <w:iCs/>
          <w:color w:val="6B7280"/>
          <w:sz w:val="21"/>
          <w:szCs w:val="21"/>
        </w:rPr>
        <w:t xml:space="preserve">los vínculos docente–alumno y alumno–alumno (Unidad III) quedan pendientes como tema autónomo; pueden retomarse en las próximas clases de la Unidad IV o integrarse al cierre de la materia, según calendario.</w:t>
      </w:r>
    </w:p>
    <w:p>
      <w:pPr>
        <w:spacing w:after="120" w:before="300"/>
      </w:pPr>
      <w:r>
        <w:rPr>
          <w:rFonts w:ascii="Calibri" w:cs="Calibri" w:eastAsia="Calibri" w:hAnsi="Calibri"/>
          <w:b/>
          <w:bCs/>
          <w:color w:val="22334D"/>
          <w:sz w:val="26"/>
          <w:szCs w:val="26"/>
        </w:rPr>
        <w:t xml:space="preserve">Referencias</w:t>
      </w:r>
    </w:p>
    <w:p>
      <w:pPr>
        <w:spacing w:after="80"/>
        <w:ind w:left="240" w:hanging="240"/>
      </w:pPr>
      <w:r>
        <w:rPr>
          <w:rFonts w:ascii="Calibri" w:cs="Calibri" w:eastAsia="Calibri" w:hAnsi="Calibri"/>
          <w:sz w:val="22"/>
          <w:szCs w:val="22"/>
        </w:rPr>
        <w:t xml:space="preserve">Baquero, R. (2001). La educabilidad bajo sospecha. Cuaderno de Pedagogía Rosario, N° 9.</w:t>
      </w:r>
    </w:p>
    <w:p>
      <w:pPr>
        <w:spacing w:after="80"/>
        <w:ind w:left="240" w:hanging="240"/>
      </w:pPr>
      <w:r>
        <w:rPr>
          <w:rFonts w:ascii="Calibri" w:cs="Calibri" w:eastAsia="Calibri" w:hAnsi="Calibri"/>
          <w:sz w:val="22"/>
          <w:szCs w:val="22"/>
        </w:rPr>
        <w:t xml:space="preserve">Guerrero Ortiz, L. (1999). Educación inicial: a la búsqueda del tesoro escondido. Revista Iberoamericana de Educación, N° 22, 75–92. Madrid: OEI.</w:t>
      </w:r>
    </w:p>
    <w:p>
      <w:pPr>
        <w:spacing w:after="80"/>
        <w:ind w:left="240" w:hanging="240"/>
      </w:pPr>
      <w:r>
        <w:rPr>
          <w:rFonts w:ascii="Calibri" w:cs="Calibri" w:eastAsia="Calibri" w:hAnsi="Calibri"/>
          <w:sz w:val="22"/>
          <w:szCs w:val="22"/>
        </w:rPr>
        <w:t xml:space="preserve">Rosenthal, R. y Jacobson, L. (1968). Pygmalion in the classroom. Nueva York: Holt, Rinehart &amp; Winston.</w:t>
      </w:r>
    </w:p>
    <w:p>
      <w:pPr>
        <w:spacing w:after="80"/>
        <w:ind w:left="240" w:hanging="240"/>
      </w:pPr>
      <w:r>
        <w:rPr>
          <w:rFonts w:ascii="Calibri" w:cs="Calibri" w:eastAsia="Calibri" w:hAnsi="Calibri"/>
          <w:sz w:val="22"/>
          <w:szCs w:val="22"/>
        </w:rPr>
        <w:t xml:space="preserve">Terigi, F. (2009). El fracaso escolar desde la perspectiva psicoeducativa. Revista Iberoamericana de Educación, N° 50, 23–39. Madrid: OEI.</w:t>
      </w:r>
    </w:p>
    <w:p>
      <w:pPr>
        <w:spacing w:after="80"/>
        <w:ind w:left="240" w:hanging="240"/>
      </w:pPr>
      <w:r>
        <w:rPr>
          <w:rFonts w:ascii="Calibri" w:cs="Calibri" w:eastAsia="Calibri" w:hAnsi="Calibri"/>
          <w:sz w:val="22"/>
          <w:szCs w:val="22"/>
        </w:rPr>
        <w:t xml:space="preserve">Toscano, A., Pérez, A., Serial, A. y López, M. (2008). Educabilidad y contextos de pobreza. X Congreso Nacional y II Internacional de REDUEI. Mendoza: Universidad Nacional de Cuyo.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54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2026-08-24T17:59:38.694Z</dcterms:created>
  <dcterms:modified xsi:type="dcterms:W3CDTF">2026-08-24T17:59:38.695Z</dcterms:modified>
</cp:coreProperties>
</file>

<file path=docProps/custom.xml><?xml version="1.0" encoding="utf-8"?>
<Properties xmlns="http://schemas.openxmlformats.org/officeDocument/2006/custom-properties" xmlns:vt="http://schemas.openxmlformats.org/officeDocument/2006/docPropsVTypes"/>
</file>