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Para la Clase 6 de hoy</w:t>
      </w:r>
    </w:p>
    <w:p>
      <w:pPr>
        <w:pStyle w:val="BodyText"/>
        <w:bidi w:val="0"/>
        <w:jc w:val="start"/>
        <w:rPr/>
      </w:pPr>
      <w:r>
        <w:rPr/>
        <w:t xml:space="preserve">Tus materiales están muy bien armados. Lo que te agrego es de orden </w:t>
      </w:r>
      <w:r>
        <w:rPr>
          <w:rStyle w:val="Strong"/>
        </w:rPr>
        <w:t>estratégico y pedagógico</w:t>
      </w:r>
      <w:r>
        <w:rPr/>
        <w:t>, no de contenido.</w:t>
      </w:r>
    </w:p>
    <w:p>
      <w:pPr>
        <w:pStyle w:val="Lneahorizontal"/>
        <w:bidi w:val="0"/>
        <w:jc w:val="start"/>
        <w:rPr/>
      </w:pPr>
      <w:r>
        <w:rPr/>
      </w:r>
    </w:p>
    <w:p>
      <w:pPr>
        <w:pStyle w:val="Heading3"/>
        <w:bidi w:val="0"/>
        <w:jc w:val="start"/>
        <w:rPr/>
      </w:pPr>
      <w:r>
        <w:rPr/>
        <w:t>2. Los mitos del cerebro: tené las respuestas claras y cortas</w:t>
      </w:r>
    </w:p>
    <w:p>
      <w:pPr>
        <w:pStyle w:val="BodyText"/>
        <w:bidi w:val="0"/>
        <w:jc w:val="start"/>
        <w:rPr/>
      </w:pPr>
      <w:r>
        <w:rPr/>
        <w:t>La actividad inicial es buena, pero puede desviarse fácilmente si aparecen "pero yo leí que...", debates sobre homeopatía o sobre pantallas. Definí de antemano cuánto tiempo le das a cada mito y cerrá con firmeza cuando sea necesario. Las 6 afirmaciones que tenés son buenas; el riesgo es que el debate se extienda y comprima el desarrollo conceptual.</w:t>
      </w:r>
    </w:p>
    <w:p>
      <w:pPr>
        <w:pStyle w:val="Lneahorizontal"/>
        <w:bidi w:val="0"/>
        <w:jc w:val="start"/>
        <w:rPr/>
      </w:pPr>
      <w:r>
        <w:rPr/>
      </w:r>
    </w:p>
    <w:p>
      <w:pPr>
        <w:pStyle w:val="Heading3"/>
        <w:bidi w:val="0"/>
        <w:jc w:val="start"/>
        <w:rPr/>
      </w:pPr>
      <w:r>
        <w:rPr/>
        <w:t>3. El trabajo integrador en grupos: dale estructura visual</w:t>
      </w:r>
    </w:p>
    <w:p>
      <w:pPr>
        <w:pStyle w:val="BodyText"/>
        <w:bidi w:val="0"/>
        <w:jc w:val="start"/>
        <w:rPr/>
      </w:pPr>
      <w:r>
        <w:rPr/>
        <w:t xml:space="preserve">Cuando cada grupo relaciona una teoría con las neurociencias, pediles que anoten en un papel o en el pizarrón </w:t>
      </w:r>
      <w:r>
        <w:rPr>
          <w:rStyle w:val="Strong"/>
        </w:rPr>
        <w:t>dos columnas</w:t>
      </w:r>
      <w:r>
        <w:rPr/>
        <w:t xml:space="preserve">: </w:t>
      </w:r>
      <w:r>
        <w:rPr>
          <w:rStyle w:val="Emphasis"/>
        </w:rPr>
        <w:t>"punto de contacto"</w:t>
      </w:r>
      <w:r>
        <w:rPr/>
        <w:t xml:space="preserve"> / </w:t>
      </w:r>
      <w:r>
        <w:rPr>
          <w:rStyle w:val="Emphasis"/>
        </w:rPr>
        <w:t>"punto de tensión"</w:t>
      </w:r>
      <w:r>
        <w:rPr/>
        <w:t>. Sin esa estructura mínima, la puesta en común tiende a ser vaga. Si podés preparar una tabla en blanco en el pizarrón antes de que lleguen, mejor.</w:t>
      </w:r>
    </w:p>
    <w:p>
      <w:pPr>
        <w:pStyle w:val="Lneahorizontal"/>
        <w:bidi w:val="0"/>
        <w:jc w:val="start"/>
        <w:rPr/>
      </w:pPr>
      <w:r>
        <w:rPr/>
      </w:r>
    </w:p>
    <w:p>
      <w:pPr>
        <w:pStyle w:val="Heading3"/>
        <w:bidi w:val="0"/>
        <w:jc w:val="start"/>
        <w:rPr/>
      </w:pPr>
      <w:r>
        <w:rPr/>
        <w:t>4. La evaluación diagnóstica formativa: hacela liviana y no la dejes para el final</w:t>
      </w:r>
    </w:p>
    <w:p>
      <w:pPr>
        <w:pStyle w:val="BodyText"/>
        <w:bidi w:val="0"/>
        <w:jc w:val="start"/>
        <w:rPr/>
      </w:pPr>
      <w:r>
        <w:rPr/>
        <w:t>Si la dejás para los últimos 5 minutos, la hacen apuradas o directamente no la hacen. Pensá si podés integrarla al cierre de otra actividad. Tres preguntas bien pensadas pueden ser algo como:</w:t>
      </w:r>
    </w:p>
    <w:p>
      <w:pPr>
        <w:pStyle w:val="BodyText"/>
        <w:numPr>
          <w:ilvl w:val="0"/>
          <w:numId w:val="1"/>
        </w:numPr>
        <w:tabs>
          <w:tab w:val="clear" w:pos="709"/>
          <w:tab w:val="left" w:pos="709" w:leader="none"/>
        </w:tabs>
        <w:bidi w:val="0"/>
        <w:spacing w:before="0" w:after="0"/>
        <w:ind w:hanging="283" w:start="709"/>
        <w:jc w:val="start"/>
        <w:rPr/>
      </w:pPr>
      <w:r>
        <w:rPr/>
        <w:t xml:space="preserve">¿Qué concepto de esta unidad te resultó más útil para pensar tu futura práctica docente? </w:t>
      </w:r>
    </w:p>
    <w:p>
      <w:pPr>
        <w:pStyle w:val="BodyText"/>
        <w:numPr>
          <w:ilvl w:val="0"/>
          <w:numId w:val="1"/>
        </w:numPr>
        <w:tabs>
          <w:tab w:val="clear" w:pos="709"/>
          <w:tab w:val="left" w:pos="709" w:leader="none"/>
        </w:tabs>
        <w:bidi w:val="0"/>
        <w:spacing w:before="0" w:after="0"/>
        <w:ind w:hanging="283" w:start="709"/>
        <w:jc w:val="start"/>
        <w:rPr/>
      </w:pPr>
      <w:r>
        <w:rPr/>
        <w:t xml:space="preserve">¿Qué pregunta te quedó sin responder? </w:t>
      </w:r>
    </w:p>
    <w:p>
      <w:pPr>
        <w:pStyle w:val="BodyText"/>
        <w:numPr>
          <w:ilvl w:val="0"/>
          <w:numId w:val="1"/>
        </w:numPr>
        <w:tabs>
          <w:tab w:val="clear" w:pos="709"/>
          <w:tab w:val="left" w:pos="709" w:leader="none"/>
        </w:tabs>
        <w:bidi w:val="0"/>
        <w:ind w:hanging="283" w:start="709"/>
        <w:jc w:val="start"/>
        <w:rPr/>
      </w:pPr>
      <w:r>
        <w:rPr/>
        <w:t xml:space="preserve">¿Qué cambió en tu idea de "aprender" desde la clase 1? </w:t>
      </w:r>
    </w:p>
    <w:p>
      <w:pPr>
        <w:pStyle w:val="BodyText"/>
        <w:bidi w:val="0"/>
        <w:jc w:val="start"/>
        <w:rPr/>
      </w:pPr>
      <w:r>
        <w:rPr/>
        <w:t>Eso es evaluación formativa real, y también te da insumo a vos para la unidad siguiente.</w:t>
      </w:r>
    </w:p>
    <w:p>
      <w:pPr>
        <w:pStyle w:val="Lneahorizontal"/>
        <w:bidi w:val="0"/>
        <w:jc w:val="start"/>
        <w:rPr/>
      </w:pPr>
      <w:r>
        <w:rPr/>
      </w:r>
    </w:p>
    <w:p>
      <w:pPr>
        <w:pStyle w:val="Heading3"/>
        <w:bidi w:val="0"/>
        <w:jc w:val="start"/>
        <w:rPr/>
      </w:pPr>
      <w:r>
        <w:rPr/>
        <w:t>5. El cierre final: conectá con la Unidad III antes de terminar</w:t>
      </w:r>
    </w:p>
    <w:p>
      <w:pPr>
        <w:pStyle w:val="BodyText"/>
        <w:bidi w:val="0"/>
        <w:jc w:val="start"/>
        <w:rPr/>
      </w:pPr>
      <w:r>
        <w:rPr/>
        <w:t xml:space="preserve">El plan menciona una reflexión escrita sobre "no poder aprender algo". Si lo pedís como consigna para la próxima, planteála con una imagen concreta, no solo con la pregunta abstracta. Por ejemplo: </w:t>
      </w:r>
      <w:r>
        <w:rPr>
          <w:rStyle w:val="Emphasis"/>
        </w:rPr>
        <w:t>"Pensá en algo que dijiste 'esto no es para mí' — un deporte, un idioma, las matemáticas, lo que sea. ¿Qué pasó? ¿Cambió esa situación?"</w:t>
      </w:r>
      <w:r>
        <w:rPr/>
        <w:t xml:space="preserve"> Lo concreto convoca más que lo genérico.</w:t>
      </w:r>
    </w:p>
    <w:p>
      <w:pPr>
        <w:pStyle w:val="Lneahorizontal"/>
        <w:bidi w:val="0"/>
        <w:jc w:val="start"/>
        <w:rPr/>
      </w:pPr>
      <w:r>
        <w:rPr/>
      </w:r>
    </w:p>
    <w:p>
      <w:pPr>
        <w:pStyle w:val="Heading3"/>
        <w:bidi w:val="0"/>
        <w:jc w:val="start"/>
        <w:rPr/>
      </w:pPr>
      <w:r>
        <w:rPr/>
        <w:t>6. Una cosa que no está en los materiales y vale mencionarla</w:t>
      </w:r>
    </w:p>
    <w:p>
      <w:pPr>
        <w:pStyle w:val="BodyText"/>
        <w:bidi w:val="0"/>
        <w:jc w:val="start"/>
        <w:rPr/>
      </w:pPr>
      <w:r>
        <w:rPr/>
        <w:t xml:space="preserve">Mora tiene una frase muy citable que dice que </w:t>
      </w:r>
      <w:r>
        <w:rPr>
          <w:rStyle w:val="Strong"/>
        </w:rPr>
        <w:t>solo se puede aprender aquello que se ama</w:t>
      </w:r>
      <w:r>
        <w:rPr/>
        <w:t xml:space="preserve"> — es el subtítulo de su libro. Si la tirás en el momento de neurociencias y emoción, y preguntás </w:t>
      </w:r>
      <w:r>
        <w:rPr>
          <w:rStyle w:val="Emphasis"/>
        </w:rPr>
        <w:t>"¿están de acuerdo? ¿qué implicaría eso para el jardín?"</w:t>
      </w:r>
      <w:r>
        <w:rPr/>
        <w:t>, generás debate genuino en un minuto. Es el tipo de frase que provoca sin necesitar explicación larga.</w:t>
      </w:r>
    </w:p>
    <w:p>
      <w:pPr>
        <w:pStyle w:val="Lneahorizontal"/>
        <w:bidi w:val="0"/>
        <w:jc w:val="start"/>
        <w:rPr/>
      </w:pPr>
      <w:r>
        <w:rPr/>
      </w:r>
    </w:p>
    <w:p>
      <w:pPr>
        <w:pStyle w:val="BodyText"/>
        <w:bidi w:val="0"/>
        <w:jc w:val="start"/>
        <w:rPr/>
      </w:pPr>
      <w:r>
        <w:rPr/>
        <w:t xml:space="preserve">En síntesis: el plan es sólido. Tu trabajo hoy es principalmente de </w:t>
      </w:r>
      <w:r>
        <w:rPr>
          <w:rStyle w:val="Strong"/>
        </w:rPr>
        <w:t>ritmo y cierre emocional</w:t>
      </w:r>
      <w:r>
        <w:rPr/>
        <w:t>. La clase 6 es la que las estudiantes recuerdan de toda la unidad si el cierre con los sobres funciona bien.</w:t>
      </w:r>
    </w:p>
    <w:p>
      <w:pPr>
        <w:pStyle w:val="Heading2"/>
        <w:bidi w:val="0"/>
        <w:jc w:val="start"/>
        <w:rPr/>
      </w:pPr>
      <w:r>
        <w:rPr/>
        <w:t>Evaluación diagnóstica formativa · Clase 6</w:t>
      </w:r>
    </w:p>
    <w:p>
      <w:pPr>
        <w:pStyle w:val="BodyText"/>
        <w:bidi w:val="0"/>
        <w:jc w:val="start"/>
        <w:rPr/>
      </w:pPr>
      <w:r>
        <w:rPr/>
        <w:t>Tres preguntas, para responder en media hoja, sin nota:</w:t>
      </w:r>
    </w:p>
    <w:p>
      <w:pPr>
        <w:pStyle w:val="Lneahorizontal"/>
        <w:bidi w:val="0"/>
        <w:jc w:val="start"/>
        <w:rPr/>
      </w:pPr>
      <w:r>
        <w:rPr/>
      </w:r>
    </w:p>
    <w:p>
      <w:pPr>
        <w:pStyle w:val="BodyText"/>
        <w:bidi w:val="0"/>
        <w:jc w:val="start"/>
        <w:rPr/>
      </w:pPr>
      <w:r>
        <w:rPr>
          <w:rStyle w:val="Strong"/>
        </w:rPr>
        <w:t>1.</w:t>
      </w:r>
      <w:r>
        <w:rPr/>
        <w:t xml:space="preserve"> De todas las teorías que vimos en estas seis clases (conductismo, cognitivismo, Piaget, Vygotski, neurociencias), ¿cuál te resultó más útil para pensar tu futura práctica en el jardín? ¿Por qué?</w:t>
      </w:r>
    </w:p>
    <w:p>
      <w:pPr>
        <w:pStyle w:val="BodyText"/>
        <w:bidi w:val="0"/>
        <w:jc w:val="start"/>
        <w:rPr/>
      </w:pPr>
      <w:r>
        <w:rPr>
          <w:rStyle w:val="Strong"/>
        </w:rPr>
        <w:t>2.</w:t>
      </w:r>
      <w:r>
        <w:rPr/>
        <w:t xml:space="preserve"> ¿Qué pregunta sobre el aprendizaje te quedó sin responder, o te generó más dudas que certezas?</w:t>
      </w:r>
    </w:p>
    <w:p>
      <w:pPr>
        <w:pStyle w:val="BodyText"/>
        <w:bidi w:val="0"/>
        <w:jc w:val="start"/>
        <w:rPr/>
      </w:pPr>
      <w:r>
        <w:rPr>
          <w:rStyle w:val="Strong"/>
        </w:rPr>
        <w:t>3.</w:t>
      </w:r>
      <w:r>
        <w:rPr/>
        <w:t xml:space="preserve"> Al principio de la unidad tenías una idea de qué es "aprender". ¿Cambió algo de esa idea? ¿Qué agregarías o quitarías hoy?</w:t>
      </w:r>
    </w:p>
    <w:p>
      <w:pPr>
        <w:pStyle w:val="Lneahorizontal"/>
        <w:bidi w:val="0"/>
        <w:jc w:val="start"/>
        <w:rPr/>
      </w:pPr>
      <w:r>
        <w:rPr/>
      </w:r>
    </w:p>
    <w:p>
      <w:pPr>
        <w:pStyle w:val="BodyText"/>
        <w:bidi w:val="0"/>
        <w:jc w:val="start"/>
        <w:rPr/>
      </w:pPr>
      <w:r>
        <w:rPr/>
        <w:t>Son abiertas, no tienen respuesta correcta, y te dan insumo real: la pregunta 1 te dice qué conceptos aterrizaron, la 2 te da el punto de partida para la Unidad III, y la 3 cierra el arco de las seis clases en lugar de los sobres.</w:t>
      </w:r>
    </w:p>
    <w:p>
      <w:pPr>
        <w:pStyle w:val="BodyText"/>
        <w:bidi w:val="0"/>
        <w:jc w:val="start"/>
        <w:rPr/>
      </w:pPr>
      <w:r>
        <w:rPr/>
        <w:t>¿Querés algún ajuste antes de que armemos el cuadro?</w:t>
      </w:r>
    </w:p>
    <w:p>
      <w:pPr>
        <w:pStyle w:val="Heading2"/>
        <w:bidi w:val="0"/>
        <w:jc w:val="start"/>
        <w:rPr/>
      </w:pPr>
      <w:r>
        <w:rPr/>
      </w:r>
    </w:p>
    <w:p>
      <w:pPr>
        <w:pStyle w:val="Heading2"/>
        <w:bidi w:val="0"/>
        <w:jc w:val="start"/>
        <w:rPr/>
      </w:pPr>
      <w:r>
        <w:rPr/>
        <w:t>Cuadro integrador · Clase 6</w:t>
      </w:r>
    </w:p>
    <w:p>
      <w:pPr>
        <w:pStyle w:val="BodyText"/>
        <w:bidi w:val="0"/>
        <w:jc w:val="start"/>
        <w:rPr/>
      </w:pPr>
      <w:r>
        <w:rPr/>
        <w:t>Para copiar en el pizarrón antes de que lleguen, o proyectar:</w:t>
      </w:r>
    </w:p>
    <w:p>
      <w:pPr>
        <w:pStyle w:val="Lneahorizontal"/>
        <w:bidi w:val="0"/>
        <w:jc w:val="start"/>
        <w:rPr/>
      </w:pPr>
      <w:r>
        <w:rPr/>
      </w:r>
    </w:p>
    <w:tbl>
      <w:tblPr>
        <w:tblW w:w="10466" w:type="dxa"/>
        <w:jc w:val="start"/>
        <w:tblInd w:w="0" w:type="dxa"/>
        <w:tblLayout w:type="fixed"/>
        <w:tblCellMar>
          <w:top w:w="28" w:type="dxa"/>
          <w:start w:w="28" w:type="dxa"/>
          <w:bottom w:w="28" w:type="dxa"/>
          <w:end w:w="28" w:type="dxa"/>
        </w:tblCellMar>
      </w:tblPr>
      <w:tblGrid>
        <w:gridCol w:w="1768"/>
        <w:gridCol w:w="4595"/>
        <w:gridCol w:w="4103"/>
      </w:tblGrid>
      <w:tr>
        <w:trPr>
          <w:tblHeader w:val="true"/>
        </w:trPr>
        <w:tc>
          <w:tcPr>
            <w:tcW w:w="1768" w:type="dxa"/>
            <w:tcBorders/>
            <w:vAlign w:val="center"/>
          </w:tcPr>
          <w:p>
            <w:pPr>
              <w:pStyle w:val="Ttulodelatabla"/>
              <w:suppressLineNumbers/>
              <w:bidi w:val="0"/>
              <w:jc w:val="center"/>
              <w:rPr/>
            </w:pPr>
            <w:r>
              <w:rPr/>
              <w:t>Teoría</w:t>
            </w:r>
          </w:p>
        </w:tc>
        <w:tc>
          <w:tcPr>
            <w:tcW w:w="4595" w:type="dxa"/>
            <w:tcBorders/>
            <w:vAlign w:val="center"/>
          </w:tcPr>
          <w:p>
            <w:pPr>
              <w:pStyle w:val="Ttulodelatabla"/>
              <w:suppressLineNumbers/>
              <w:bidi w:val="0"/>
              <w:jc w:val="center"/>
              <w:rPr/>
            </w:pPr>
            <w:r>
              <w:rPr/>
              <w:t>Punto de contacto con neurociencias</w:t>
            </w:r>
          </w:p>
        </w:tc>
        <w:tc>
          <w:tcPr>
            <w:tcW w:w="4103" w:type="dxa"/>
            <w:tcBorders/>
            <w:vAlign w:val="center"/>
          </w:tcPr>
          <w:p>
            <w:pPr>
              <w:pStyle w:val="Ttulodelatabla"/>
              <w:suppressLineNumbers/>
              <w:bidi w:val="0"/>
              <w:jc w:val="center"/>
              <w:rPr/>
            </w:pPr>
            <w:r>
              <w:rPr/>
              <w:t>Punto de tensión o límite</w:t>
            </w:r>
          </w:p>
        </w:tc>
      </w:tr>
      <w:tr>
        <w:trPr/>
        <w:tc>
          <w:tcPr>
            <w:tcW w:w="1768" w:type="dxa"/>
            <w:tcBorders/>
            <w:vAlign w:val="center"/>
          </w:tcPr>
          <w:p>
            <w:pPr>
              <w:pStyle w:val="Contenidodelatabla"/>
              <w:widowControl w:val="false"/>
              <w:suppressLineNumbers/>
              <w:bidi w:val="0"/>
              <w:jc w:val="start"/>
              <w:rPr/>
            </w:pPr>
            <w:r>
              <w:rPr>
                <w:rStyle w:val="Strong"/>
              </w:rPr>
              <w:t>Conductismo</w:t>
            </w:r>
          </w:p>
        </w:tc>
        <w:tc>
          <w:tcPr>
            <w:tcW w:w="4595" w:type="dxa"/>
            <w:tcBorders/>
            <w:vAlign w:val="center"/>
          </w:tcPr>
          <w:p>
            <w:pPr>
              <w:pStyle w:val="Contenidodelatabla"/>
              <w:widowControl w:val="false"/>
              <w:suppressLineNumbers/>
              <w:bidi w:val="0"/>
              <w:jc w:val="start"/>
              <w:rPr/>
            </w:pPr>
            <w:r>
              <w:rPr/>
              <w:t>El refuerzo positivo tiene base neurológica: activa circuitos de recompensa (dopamina)</w:t>
            </w:r>
          </w:p>
        </w:tc>
        <w:tc>
          <w:tcPr>
            <w:tcW w:w="4103" w:type="dxa"/>
            <w:tcBorders/>
            <w:vAlign w:val="center"/>
          </w:tcPr>
          <w:p>
            <w:pPr>
              <w:pStyle w:val="Contenidodelatabla"/>
              <w:widowControl w:val="false"/>
              <w:suppressLineNumbers/>
              <w:bidi w:val="0"/>
              <w:jc w:val="start"/>
              <w:rPr/>
            </w:pPr>
            <w:r>
              <w:rPr/>
              <w:t>No considera lo que ocurre "dentro" del cerebro; ignora emoción y contexto</w:t>
            </w:r>
          </w:p>
        </w:tc>
      </w:tr>
      <w:tr>
        <w:trPr/>
        <w:tc>
          <w:tcPr>
            <w:tcW w:w="1768" w:type="dxa"/>
            <w:tcBorders/>
            <w:vAlign w:val="center"/>
          </w:tcPr>
          <w:p>
            <w:pPr>
              <w:pStyle w:val="Contenidodelatabla"/>
              <w:widowControl w:val="false"/>
              <w:suppressLineNumbers/>
              <w:bidi w:val="0"/>
              <w:jc w:val="start"/>
              <w:rPr/>
            </w:pPr>
            <w:r>
              <w:rPr>
                <w:rStyle w:val="Strong"/>
              </w:rPr>
              <w:t>Cognitivismo</w:t>
            </w:r>
          </w:p>
        </w:tc>
        <w:tc>
          <w:tcPr>
            <w:tcW w:w="4595" w:type="dxa"/>
            <w:tcBorders/>
            <w:vAlign w:val="center"/>
          </w:tcPr>
          <w:p>
            <w:pPr>
              <w:pStyle w:val="Contenidodelatabla"/>
              <w:widowControl w:val="false"/>
              <w:suppressLineNumbers/>
              <w:bidi w:val="0"/>
              <w:jc w:val="start"/>
              <w:rPr/>
            </w:pPr>
            <w:r>
              <w:rPr/>
              <w:t>Memoria, atención y representaciones son procesos con correlato neuronal estudiado</w:t>
            </w:r>
          </w:p>
        </w:tc>
        <w:tc>
          <w:tcPr>
            <w:tcW w:w="4103" w:type="dxa"/>
            <w:tcBorders/>
            <w:vAlign w:val="center"/>
          </w:tcPr>
          <w:p>
            <w:pPr>
              <w:pStyle w:val="Contenidodelatabla"/>
              <w:widowControl w:val="false"/>
              <w:suppressLineNumbers/>
              <w:bidi w:val="0"/>
              <w:jc w:val="start"/>
              <w:rPr/>
            </w:pPr>
            <w:r>
              <w:rPr/>
              <w:t>Su modelo de "procesamiento" es más mecánico que lo que muestra la neurociencia actual</w:t>
            </w:r>
          </w:p>
        </w:tc>
      </w:tr>
      <w:tr>
        <w:trPr/>
        <w:tc>
          <w:tcPr>
            <w:tcW w:w="1768" w:type="dxa"/>
            <w:tcBorders/>
            <w:vAlign w:val="center"/>
          </w:tcPr>
          <w:p>
            <w:pPr>
              <w:pStyle w:val="Contenidodelatabla"/>
              <w:widowControl w:val="false"/>
              <w:suppressLineNumbers/>
              <w:bidi w:val="0"/>
              <w:jc w:val="start"/>
              <w:rPr/>
            </w:pPr>
            <w:r>
              <w:rPr>
                <w:rStyle w:val="Strong"/>
              </w:rPr>
              <w:t>Psicogenética (Piaget)</w:t>
            </w:r>
          </w:p>
        </w:tc>
        <w:tc>
          <w:tcPr>
            <w:tcW w:w="4595" w:type="dxa"/>
            <w:tcBorders/>
            <w:vAlign w:val="center"/>
          </w:tcPr>
          <w:p>
            <w:pPr>
              <w:pStyle w:val="Contenidodelatabla"/>
              <w:widowControl w:val="false"/>
              <w:suppressLineNumbers/>
              <w:bidi w:val="0"/>
              <w:jc w:val="start"/>
              <w:rPr/>
            </w:pPr>
            <w:r>
              <w:rPr/>
              <w:t>La plasticidad neuronal es la base biológica del constructivismo; el conflicto cognitivo activa redes nuevas</w:t>
            </w:r>
          </w:p>
        </w:tc>
        <w:tc>
          <w:tcPr>
            <w:tcW w:w="4103" w:type="dxa"/>
            <w:tcBorders/>
            <w:vAlign w:val="center"/>
          </w:tcPr>
          <w:p>
            <w:pPr>
              <w:pStyle w:val="Contenidodelatabla"/>
              <w:widowControl w:val="false"/>
              <w:suppressLineNumbers/>
              <w:bidi w:val="0"/>
              <w:jc w:val="start"/>
              <w:rPr/>
            </w:pPr>
            <w:r>
              <w:rPr/>
              <w:t>Los estadios son más flexibles y contexto-dependientes de lo que Piaget planteó</w:t>
            </w:r>
          </w:p>
        </w:tc>
      </w:tr>
      <w:tr>
        <w:trPr/>
        <w:tc>
          <w:tcPr>
            <w:tcW w:w="1768" w:type="dxa"/>
            <w:tcBorders/>
            <w:vAlign w:val="center"/>
          </w:tcPr>
          <w:p>
            <w:pPr>
              <w:pStyle w:val="Contenidodelatabla"/>
              <w:widowControl w:val="false"/>
              <w:suppressLineNumbers/>
              <w:bidi w:val="0"/>
              <w:jc w:val="start"/>
              <w:rPr/>
            </w:pPr>
            <w:r>
              <w:rPr>
                <w:rStyle w:val="Strong"/>
              </w:rPr>
              <w:t>Sociocultural (Vygotski)</w:t>
            </w:r>
          </w:p>
        </w:tc>
        <w:tc>
          <w:tcPr>
            <w:tcW w:w="4595" w:type="dxa"/>
            <w:tcBorders/>
            <w:vAlign w:val="center"/>
          </w:tcPr>
          <w:p>
            <w:pPr>
              <w:pStyle w:val="Contenidodelatabla"/>
              <w:widowControl w:val="false"/>
              <w:suppressLineNumbers/>
              <w:bidi w:val="0"/>
              <w:jc w:val="start"/>
              <w:rPr/>
            </w:pPr>
            <w:r>
              <w:rPr/>
              <w:t>La interacción social activa zonas cerebrales que el aprendizaje solitario no activa; las neuronas espejo son un correlato de la mediación</w:t>
            </w:r>
          </w:p>
        </w:tc>
        <w:tc>
          <w:tcPr>
            <w:tcW w:w="4103" w:type="dxa"/>
            <w:tcBorders/>
            <w:vAlign w:val="center"/>
          </w:tcPr>
          <w:p>
            <w:pPr>
              <w:pStyle w:val="Contenidodelatabla"/>
              <w:widowControl w:val="false"/>
              <w:suppressLineNumbers/>
              <w:bidi w:val="0"/>
              <w:jc w:val="start"/>
              <w:rPr/>
            </w:pPr>
            <w:r>
              <w:rPr/>
              <w:t>Vygotski no tenía acceso a evidencia neurológica; sus conceptos son funcionales, no anatómicos</w:t>
            </w:r>
          </w:p>
        </w:tc>
      </w:tr>
    </w:tbl>
    <w:p>
      <w:pPr>
        <w:pStyle w:val="Lneahorizontal"/>
        <w:bidi w:val="0"/>
        <w:jc w:val="start"/>
        <w:rPr/>
      </w:pPr>
      <w:r>
        <w:rPr/>
      </w:r>
    </w:p>
    <w:p>
      <w:pPr>
        <w:pStyle w:val="BodyText"/>
        <w:bidi w:val="0"/>
        <w:jc w:val="start"/>
        <w:rPr/>
      </w:pPr>
      <w:r>
        <w:rPr/>
        <w:t>Dos sugerencias para usarlo en clase:</w:t>
      </w:r>
    </w:p>
    <w:p>
      <w:pPr>
        <w:pStyle w:val="BodyText"/>
        <w:bidi w:val="0"/>
        <w:jc w:val="start"/>
        <w:rPr/>
      </w:pPr>
      <w:r>
        <w:rPr>
          <w:rStyle w:val="Strong"/>
        </w:rPr>
        <w:t>Primero</w:t>
      </w:r>
      <w:r>
        <w:rPr/>
        <w:t xml:space="preserve"> dejá la columna derecha en blanco y que cada grupo complete la suya. Luego lo completás vos en pizarrón con los aportes de todos.</w:t>
      </w:r>
    </w:p>
    <w:p>
      <w:pPr>
        <w:pStyle w:val="BodyText"/>
        <w:bidi w:val="0"/>
        <w:jc w:val="start"/>
        <w:rPr/>
      </w:pPr>
      <w:r>
        <w:rPr>
          <w:rStyle w:val="Strong"/>
        </w:rPr>
        <w:t>Segundo</w:t>
      </w:r>
      <w:r>
        <w:rPr/>
        <w:t xml:space="preserve">, al cerrar la puesta en común, podés tirar la frase de Mora — </w:t>
      </w:r>
      <w:r>
        <w:rPr>
          <w:rStyle w:val="Emphasis"/>
        </w:rPr>
        <w:t>"solo se puede aprender aquello que se ama"</w:t>
      </w:r>
      <w:r>
        <w:rPr/>
        <w:t xml:space="preserve"> — y preguntar en qué fila del cuadro encajaría. Genera debate rápido y conecta emoción con teoría antes del cierre.</w:t>
      </w:r>
    </w:p>
    <w:p>
      <w:pPr>
        <w:pStyle w:val="BodyText"/>
        <w:bidi w:val="0"/>
        <w:jc w:val="start"/>
        <w:rPr/>
      </w:pPr>
      <w:r>
        <w:rPr/>
        <w:t>¿Necesitás algo más para hoy?</w:t>
      </w:r>
    </w:p>
    <w:p>
      <w:pPr>
        <w:pStyle w:val="Normal"/>
        <w:bidi w:val="0"/>
        <w:jc w:val="start"/>
        <w:rPr/>
      </w:pPr>
      <w:r>
        <w:rPr/>
      </w:r>
    </w:p>
    <w:sectPr>
      <w:type w:val="nextPage"/>
      <w:pgSz w:w="11906" w:h="16838"/>
      <w:pgMar w:left="720" w:right="720" w:gutter="0" w:header="0" w:top="720" w:footer="0" w:bottom="72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A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s-AR" w:eastAsia="zh-CN" w:bidi="hi-IN"/>
    </w:rPr>
  </w:style>
  <w:style w:type="paragraph" w:styleId="Heading2">
    <w:name w:val="heading 2"/>
    <w:basedOn w:val="Ttulo"/>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tulo"/>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LibreOffice/26.2.2.2$Linux_X86_64 LibreOffice_project/620$Build-2</Application>
  <AppVersion>15.0000</AppVersion>
  <Pages>2</Pages>
  <Words>799</Words>
  <Characters>3944</Characters>
  <CharactersWithSpaces>4702</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2026-05-15T13:54:55Z</dcterms:created>
  <dc:creator/>
  <dc:description/>
  <dc:language>es-AR</dc:language>
  <cp:lastModifiedBy/>
  <dcterms:modified xsi:type="dcterms:W3CDTF">2026-05-15T13:56:30Z</dcterms:modified>
  <cp:revision>1</cp:revision>
  <dc:subject/>
  <dc:title/>
</cp:coreProperties>
</file>