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666666"/>
          <w:sz w:val="18"/>
          <w:szCs w:val="18"/>
        </w:rPr>
        <w:t xml:space="preserve">PROFESORADO DE EDUCACIÓN INICIAL · 2° AÑO</w:t>
      </w:r>
    </w:p>
    <w:p>
      <w:pPr>
        <w:spacing w:after="40" w:before="0"/>
      </w:pPr>
      <w:r>
        <w:rPr>
          <w:rFonts w:ascii="Arial" w:cs="Arial" w:eastAsia="Arial" w:hAnsi="Arial"/>
          <w:b/>
          <w:bCs/>
          <w:color w:val="B85042"/>
          <w:sz w:val="30"/>
          <w:szCs w:val="30"/>
        </w:rPr>
        <w:t xml:space="preserve">Psicología Educacional</w:t>
      </w:r>
    </w:p>
    <w:p>
      <w:pPr>
        <w:spacing w:after="200" w:before="0"/>
      </w:pPr>
      <w:r>
        <w:rPr>
          <w:rFonts w:ascii="Arial" w:cs="Arial" w:eastAsia="Arial" w:hAnsi="Arial"/>
          <w:color w:val="2C2C2C"/>
          <w:sz w:val="22"/>
          <w:szCs w:val="22"/>
        </w:rPr>
        <w:t xml:space="preserve">Material de lectura · Clase 7</w:t>
      </w:r>
    </w:p>
    <w:p>
      <w:pPr>
        <w:spacing w:after="60" w:before="60"/>
      </w:pPr>
      <w:r>
        <w:rPr>
          <w:rFonts w:ascii="Arial" w:cs="Arial" w:eastAsia="Arial" w:hAnsi="Arial"/>
          <w:i w:val="false"/>
          <w:iCs w:val="false"/>
          <w:color w:val="2C2C2C"/>
          <w:sz w:val="20"/>
          <w:szCs w:val="20"/>
        </w:rPr>
        <w:t xml:space="preserve">Este material acompaña la Clase 7, que abre el recorrido por los aportes de Bruner y Ausubel a la teoría del aprendizaje. Ambos autores se inscriben en la tradición cognitiva y constructivista, y ofrecen herramientas conceptuales de alto valor pedagógico para pensar la enseñanza en el nivel inicial.</w:t>
      </w:r>
    </w:p>
    <w:p>
      <w:pPr>
        <w:spacing w:after="60" w:before="60"/>
      </w:pPr>
      <w:r>
        <w:rPr>
          <w:rFonts w:ascii="Arial" w:cs="Arial" w:eastAsia="Arial" w:hAnsi="Arial"/>
          <w:i/>
          <w:iCs/>
          <w:color w:val="666666"/>
          <w:sz w:val="20"/>
          <w:szCs w:val="20"/>
        </w:rPr>
        <w:t xml:space="preserve">Referencias: Bruner (1960, 1966) · Ausubel (1963, 1968) · Pozo (1989)</w:t>
      </w:r>
    </w:p>
    <w:p>
      <w:pPr>
        <w:pBdr>
          <w:bottom w:val="single" w:color="B85042" w:sz="4" w:space="1"/>
        </w:pBdr>
        <w:spacing w:after="160" w:before="160"/>
      </w:pPr>
      <w:r>
        <w:t xml:space="preserve"/>
      </w:r>
    </w:p>
    <w:p>
      <w:pPr>
        <w:spacing w:after="40" w:before="60"/>
      </w:pPr>
      <w:r>
        <w:rPr>
          <w:rFonts w:ascii="Arial" w:cs="Arial" w:eastAsia="Arial" w:hAnsi="Arial"/>
          <w:b/>
          <w:bCs/>
          <w:color w:val="B85042"/>
          <w:sz w:val="22"/>
          <w:szCs w:val="22"/>
        </w:rPr>
        <w:t xml:space="preserve">CLASE 7</w:t>
      </w:r>
    </w:p>
    <w:p>
      <w:pPr>
        <w:spacing w:after="40" w:before="0"/>
      </w:pPr>
      <w:r>
        <w:rPr>
          <w:rFonts w:ascii="Arial" w:cs="Arial" w:eastAsia="Arial" w:hAnsi="Arial"/>
          <w:b/>
          <w:bCs/>
          <w:color w:val="2C2C2C"/>
          <w:sz w:val="30"/>
          <w:szCs w:val="30"/>
        </w:rPr>
        <w:t xml:space="preserve">Bruner y Ausubel: aprender con sentido</w:t>
      </w:r>
    </w:p>
    <w:p>
      <w:pPr>
        <w:spacing w:after="160" w:before="0"/>
      </w:pPr>
      <w:r>
        <w:rPr>
          <w:rFonts w:ascii="Arial" w:cs="Arial" w:eastAsia="Arial" w:hAnsi="Arial"/>
          <w:i/>
          <w:iCs/>
          <w:color w:val="666666"/>
          <w:sz w:val="21"/>
          <w:szCs w:val="21"/>
        </w:rPr>
        <w:t xml:space="preserve">Del aprendizaje por descubrimiento al aprendizaje significativo</w:t>
      </w:r>
    </w:p>
    <w:p>
      <w:pPr>
        <w:spacing w:after="100" w:before="260"/>
      </w:pPr>
      <w:r>
        <w:rPr>
          <w:rFonts w:ascii="Arial" w:cs="Arial" w:eastAsia="Arial" w:hAnsi="Arial"/>
          <w:b/>
          <w:bCs/>
          <w:color w:val="B85042"/>
          <w:sz w:val="26"/>
          <w:szCs w:val="26"/>
        </w:rPr>
        <w:t xml:space="preserve">1. Entre Piaget, Vygotski y la enseñanza concreta</w:t>
      </w:r>
    </w:p>
    <w:p>
      <w:pPr>
        <w:spacing w:after="60" w:before="60"/>
      </w:pPr>
      <w:r>
        <w:rPr>
          <w:rFonts w:ascii="Arial" w:cs="Arial" w:eastAsia="Arial" w:hAnsi="Arial"/>
          <w:color w:val="2C2C2C"/>
          <w:sz w:val="20"/>
          <w:szCs w:val="20"/>
        </w:rPr>
        <w:t xml:space="preserve">Las teorías de Piaget y Vygotski que trabajamos en la clase anterior describen cómo aprende el sujeto, cuáles son los mecanismos del desarrollo cognitivo y qué papel juega el contexto social. Sin embargo, ninguna de ellas ofrece indicaciones directas sobre cómo debe enseñar la docente. ¿Cómo se traduce la ZDP en una propuesta de sala? ¿Qué tipo de actividades generan conflicto cognitivo? ¿Qué hace exactamente la docente cuando 'provoca' el aprendizaje?</w:t>
      </w:r>
    </w:p>
    <w:p>
      <w:pPr>
        <w:spacing w:after="60" w:before="60"/>
      </w:pPr>
      <w:r>
        <w:rPr>
          <w:rFonts w:ascii="Arial" w:cs="Arial" w:eastAsia="Arial" w:hAnsi="Arial"/>
          <w:color w:val="2C2C2C"/>
          <w:sz w:val="20"/>
          <w:szCs w:val="20"/>
        </w:rPr>
        <w:t xml:space="preserve">Bruner y Ausubel responden a estas preguntas desde ángulos distintos. Bruner pone el acento en la exploración activa y el descubrimiento. Ausubel, en cambio, reivindica la recepción significativa: se puede aprender algo que te enseñan, siempre que eso que te enseñan se conecte con lo que ya sabés. Lejos de ser opuestos, son complementarios.</w:t>
      </w: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2. Jerome Bruner: el aprendizaje por descubrimiento</w:t>
      </w:r>
    </w:p>
    <w:p>
      <w:pPr>
        <w:spacing w:after="60" w:before="60"/>
      </w:pPr>
      <w:r>
        <w:rPr>
          <w:rFonts w:ascii="Arial" w:cs="Arial" w:eastAsia="Arial" w:hAnsi="Arial"/>
          <w:color w:val="2C2C2C"/>
          <w:sz w:val="20"/>
          <w:szCs w:val="20"/>
        </w:rPr>
        <w:t xml:space="preserve">Jerome Bruner (1915–2016) fue un psicólogo y pedagogo estadounidense cuyo trabajo abarcó décadas y campos muy diversos: la psicología cognitiva, la filosofía de la educación y los estudios narrativos. Su influencia sobre el diseño curricular del siglo XX fue enorme.</w:t>
      </w:r>
    </w:p>
    <w:p>
      <w:pPr>
        <w:spacing w:after="80" w:before="180"/>
      </w:pPr>
      <w:r>
        <w:rPr>
          <w:rFonts w:ascii="Arial" w:cs="Arial" w:eastAsia="Arial" w:hAnsi="Arial"/>
          <w:b/>
          <w:bCs/>
          <w:color w:val="2C2C2C"/>
          <w:sz w:val="22"/>
          <w:szCs w:val="22"/>
        </w:rPr>
        <w:t xml:space="preserve">2.1 El aprendizaje por descubrimiento</w:t>
      </w:r>
    </w:p>
    <w:p>
      <w:pPr>
        <w:spacing w:after="60" w:before="60"/>
      </w:pPr>
      <w:r>
        <w:rPr>
          <w:rFonts w:ascii="Arial" w:cs="Arial" w:eastAsia="Arial" w:hAnsi="Arial"/>
          <w:color w:val="2C2C2C"/>
          <w:sz w:val="20"/>
          <w:szCs w:val="20"/>
        </w:rPr>
        <w:t xml:space="preserve">Para Bruner, aprender no es recibir información sino construirla activamente a través de la exploración, la formulación de hipótesis y la resolución de problemas. El aprendizaje por descubrimiento no implica que el niño llegue a los conocimientos sin ayuda alguna: implica que el conocimiento no se presenta como un producto terminado sino como un proceso que el sujeto construye.</w:t>
      </w:r>
    </w:p>
    <w:p>
      <w:pPr>
        <w:spacing w:after="60" w:before="60"/>
      </w:pPr>
      <w:r>
        <w:rPr>
          <w:rFonts w:ascii="Arial" w:cs="Arial" w:eastAsia="Arial" w:hAnsi="Arial"/>
          <w:color w:val="2C2C2C"/>
          <w:sz w:val="20"/>
          <w:szCs w:val="20"/>
        </w:rPr>
        <w:t xml:space="preserve">Este enfoque tiene consecuencias pedagógicas directas:</w:t>
      </w:r>
    </w:p>
    <w:p>
      <w:pPr>
        <w:pStyle w:val="ListParagraph"/>
        <w:numPr>
          <w:ilvl w:val="0"/>
          <w:numId w:val="2"/>
        </w:numPr>
        <w:spacing w:after="40" w:before="40"/>
      </w:pPr>
      <w:r>
        <w:rPr>
          <w:rFonts w:ascii="Arial" w:cs="Arial" w:eastAsia="Arial" w:hAnsi="Arial"/>
          <w:color w:val="2C2C2C"/>
          <w:sz w:val="20"/>
          <w:szCs w:val="20"/>
        </w:rPr>
        <w:t xml:space="preserve">La docente no da la respuesta de entrada: genera condiciones para que el niño la construya.</w:t>
      </w:r>
    </w:p>
    <w:p>
      <w:pPr>
        <w:pStyle w:val="ListParagraph"/>
        <w:numPr>
          <w:ilvl w:val="0"/>
          <w:numId w:val="2"/>
        </w:numPr>
        <w:spacing w:after="40" w:before="40"/>
      </w:pPr>
      <w:r>
        <w:rPr>
          <w:rFonts w:ascii="Arial" w:cs="Arial" w:eastAsia="Arial" w:hAnsi="Arial"/>
          <w:color w:val="2C2C2C"/>
          <w:sz w:val="20"/>
          <w:szCs w:val="20"/>
        </w:rPr>
        <w:t xml:space="preserve">Los errores no son fracasos: son parte del proceso de descubrimiento y deben ser tratados como información.</w:t>
      </w:r>
    </w:p>
    <w:p>
      <w:pPr>
        <w:pStyle w:val="ListParagraph"/>
        <w:numPr>
          <w:ilvl w:val="0"/>
          <w:numId w:val="2"/>
        </w:numPr>
        <w:spacing w:after="40" w:before="40"/>
      </w:pPr>
      <w:r>
        <w:rPr>
          <w:rFonts w:ascii="Arial" w:cs="Arial" w:eastAsia="Arial" w:hAnsi="Arial"/>
          <w:color w:val="2C2C2C"/>
          <w:sz w:val="20"/>
          <w:szCs w:val="20"/>
        </w:rPr>
        <w:t xml:space="preserve">El ambiente de aprendizaje debe ser rico en materiales, desafíos y posibilidades de exploración.</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tcBorders>
              <w:top w:val="single" w:color="D0C4BC" w:sz="1"/>
              <w:left w:val="single" w:color="D0C4BC" w:sz="1"/>
              <w:bottom w:val="single" w:color="D0C4BC" w:sz="1"/>
              <w:right w:val="single" w:color="D0C4BC" w:sz="1"/>
            </w:tcBorders>
            <w:shd w:fill="B85042" w:val="clear"/>
            <w:tcMar>
              <w:top w:type="dxa" w:w="80"/>
              <w:left w:type="dxa" w:w="160"/>
              <w:bottom w:type="dxa" w:w="80"/>
              <w:right w:type="dxa" w:w="160"/>
            </w:tcMar>
          </w:tcPr>
          <w:p>
            <w:r>
              <w:rPr>
                <w:rFonts w:ascii="Arial" w:cs="Arial" w:eastAsia="Arial" w:hAnsi="Arial"/>
                <w:b/>
                <w:bCs/>
                <w:color w:val="FFFFFF"/>
                <w:sz w:val="20"/>
                <w:szCs w:val="20"/>
              </w:rPr>
              <w:t xml:space="preserve">EN LA SALA DE NIVEL INICIAL</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i w:val="false"/>
                <w:iCs w:val="false"/>
                <w:color w:val="2C2C2C"/>
                <w:sz w:val="20"/>
                <w:szCs w:val="20"/>
              </w:rPr>
              <w:t xml:space="preserve">Una docente propone a los niños de sala de 4 jugar con materiales naturales: hojas, semillas, piedritas, ramas. No da consignas cerradas: invita a explorar, agrupar, comparar. Cuando un niño dice 'esta piedrita es más pesada que todas las demás', la docente no corrige ni valida: pregunta '¿cómo podrías comprobarlo?' El niño está aprendiendo a través del descubrimiento. La docente está operando como facilitadora del proceso.</w:t>
            </w:r>
          </w:p>
        </w:tc>
      </w:tr>
    </w:tbl>
    <w:p>
      <w:pPr>
        <w:spacing w:before="100"/>
      </w:pPr>
    </w:p>
    <w:p>
      <w:pPr>
        <w:spacing w:after="80" w:before="180"/>
      </w:pPr>
      <w:r>
        <w:rPr>
          <w:rFonts w:ascii="Arial" w:cs="Arial" w:eastAsia="Arial" w:hAnsi="Arial"/>
          <w:b/>
          <w:bCs/>
          <w:color w:val="2C2C2C"/>
          <w:sz w:val="22"/>
          <w:szCs w:val="22"/>
        </w:rPr>
        <w:t xml:space="preserve">2.2 Los modos de representación</w:t>
      </w:r>
    </w:p>
    <w:p>
      <w:pPr>
        <w:spacing w:after="60" w:before="60"/>
      </w:pPr>
      <w:r>
        <w:rPr>
          <w:rFonts w:ascii="Arial" w:cs="Arial" w:eastAsia="Arial" w:hAnsi="Arial"/>
          <w:color w:val="2C2C2C"/>
          <w:sz w:val="20"/>
          <w:szCs w:val="20"/>
        </w:rPr>
        <w:t xml:space="preserve">Bruner identificó tres modos en que los seres humanos representamos el conocimiento. Estos modos no son estadios que se superan definitivamente, como en Piaget, sino formas que coexisten y se combinan:</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0C4BC" w:sz="1"/>
              <w:left w:val="single" w:color="D0C4BC" w:sz="1"/>
              <w:bottom w:val="single" w:color="D0C4BC" w:sz="1"/>
              <w:right w:val="single" w:color="D0C4BC" w:sz="1"/>
            </w:tcBorders>
            <w:shd w:fill="B85042" w:val="clear"/>
            <w:tcMar>
              <w:top w:type="dxa" w:w="80"/>
              <w:left w:type="dxa" w:w="140"/>
              <w:bottom w:type="dxa" w:w="80"/>
              <w:right w:type="dxa" w:w="80"/>
            </w:tcMar>
          </w:tcPr>
          <w:p>
            <w:r>
              <w:rPr>
                <w:rFonts w:ascii="Arial" w:cs="Arial" w:eastAsia="Arial" w:hAnsi="Arial"/>
                <w:b/>
                <w:bCs/>
                <w:color w:val="FFFFFF"/>
                <w:sz w:val="20"/>
                <w:szCs w:val="20"/>
              </w:rPr>
              <w:t xml:space="preserve">Modo</w:t>
            </w:r>
          </w:p>
        </w:tc>
        <w:tc>
          <w:tcPr>
            <w:tcW w:type="dxa" w:w="4600"/>
            <w:tcBorders>
              <w:top w:val="single" w:color="D0C4BC" w:sz="1"/>
              <w:left w:val="single" w:color="D0C4BC" w:sz="1"/>
              <w:bottom w:val="single" w:color="D0C4BC" w:sz="1"/>
              <w:right w:val="single" w:color="D0C4BC" w:sz="1"/>
            </w:tcBorders>
            <w:shd w:fill="C8793A" w:val="clear"/>
            <w:tcMar>
              <w:top w:type="dxa" w:w="80"/>
              <w:left w:type="dxa" w:w="140"/>
              <w:bottom w:type="dxa" w:w="80"/>
              <w:right w:type="dxa" w:w="80"/>
            </w:tcMar>
          </w:tcPr>
          <w:p>
            <w:r>
              <w:rPr>
                <w:rFonts w:ascii="Arial" w:cs="Arial" w:eastAsia="Arial" w:hAnsi="Arial"/>
                <w:b/>
                <w:bCs/>
                <w:color w:val="FFFFFF"/>
                <w:sz w:val="20"/>
                <w:szCs w:val="20"/>
              </w:rPr>
              <w:t xml:space="preserve">Descripción y relevancia para el nivel inicial</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Enactivo</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Representación a través de la acción motriz. El niño conoce haciendo. Fundamental en los primeros años: se aprende trepando, amasando, construyendo.</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Icónico</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Representación a través de imágenes y percepciones. El niño puede pensar 'en imágenes' antes de poder simbolizar. El dibujo, el modelado y la observación son vías privilegiadas.</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Simbólico</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Representación a través de símbolos abstractos: el lenguaje, los números, los códigos. Emerge progresivamente y se apoya en los modos anteriores.</w:t>
            </w:r>
          </w:p>
        </w:tc>
      </w:tr>
    </w:tbl>
    <w:p>
      <w:pPr>
        <w:spacing w:before="80"/>
      </w:pPr>
    </w:p>
    <w:p>
      <w:pPr>
        <w:spacing w:after="60" w:before="60"/>
      </w:pPr>
      <w:r>
        <w:rPr>
          <w:rFonts w:ascii="Arial" w:cs="Arial" w:eastAsia="Arial" w:hAnsi="Arial"/>
          <w:color w:val="2C2C2C"/>
          <w:sz w:val="20"/>
          <w:szCs w:val="20"/>
        </w:rPr>
        <w:t xml:space="preserve">En el nivel inicial, los modos enactivo e icónico son predominantes. Una pedagogía que saltea estos modos y apela directamente al simbólico pierde el anclaje en la experiencia y la imagen que los niños necesitan para construir conocimiento.</w:t>
      </w:r>
    </w:p>
    <w:p>
      <w:pPr>
        <w:spacing w:after="80" w:before="180"/>
      </w:pPr>
      <w:r>
        <w:rPr>
          <w:rFonts w:ascii="Arial" w:cs="Arial" w:eastAsia="Arial" w:hAnsi="Arial"/>
          <w:b/>
          <w:bCs/>
          <w:color w:val="2C2C2C"/>
          <w:sz w:val="22"/>
          <w:szCs w:val="22"/>
        </w:rPr>
        <w:t xml:space="preserve">2.3 El currículum en espiral</w:t>
      </w:r>
    </w:p>
    <w:p>
      <w:pPr>
        <w:spacing w:after="60" w:before="60"/>
      </w:pPr>
      <w:r>
        <w:rPr>
          <w:rFonts w:ascii="Arial" w:cs="Arial" w:eastAsia="Arial" w:hAnsi="Arial"/>
          <w:color w:val="2C2C2C"/>
          <w:sz w:val="20"/>
          <w:szCs w:val="20"/>
        </w:rPr>
        <w:t xml:space="preserve">Bruner propuso organizar los contenidos educativos en forma de espiral: los mismos temas se retoman en diferentes momentos del desarrollo, con mayor complejidad y abstracción cada vez. En el jardín, los niños trabajan con nociones de cantidad, espacio, tiempo y convivencia de manera concreta y experiencial. En años posteriores, esas mismas nociones se abordan con mayor profundidad conceptual.</w:t>
      </w:r>
    </w:p>
    <w:p>
      <w:pPr>
        <w:spacing w:after="60" w:before="60"/>
      </w:pPr>
      <w:r>
        <w:rPr>
          <w:rFonts w:ascii="Arial" w:cs="Arial" w:eastAsia="Arial" w:hAnsi="Arial"/>
          <w:color w:val="2C2C2C"/>
          <w:sz w:val="20"/>
          <w:szCs w:val="20"/>
        </w:rPr>
        <w:t xml:space="preserve">La idea de espiral implica que no hay contenidos que sean 'demasiado difíciles' para los niños pequeños si se presentan de la manera adecuada a su modo de representación predominante.</w:t>
      </w: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3. David Ausubel: el aprendizaje significativo</w:t>
      </w:r>
    </w:p>
    <w:p>
      <w:pPr>
        <w:spacing w:after="60" w:before="60"/>
      </w:pPr>
      <w:r>
        <w:rPr>
          <w:rFonts w:ascii="Arial" w:cs="Arial" w:eastAsia="Arial" w:hAnsi="Arial"/>
          <w:color w:val="2C2C2C"/>
          <w:sz w:val="20"/>
          <w:szCs w:val="20"/>
        </w:rPr>
        <w:t xml:space="preserve">David Ausubel (1918–2008) fue un psicólogo educativo estadounidense que desarrolló su obra en fuerte diálogo y controversia con las ideas de Bruner. Ausubel consideraba que el aprendizaje por descubrimiento era valioso pero que sobreestimaba su necesidad: gran parte del conocimiento humano se aprende de manera receptiva, y eso no es necesariamente un problema.</w:t>
      </w:r>
    </w:p>
    <w:p>
      <w:pPr>
        <w:spacing w:after="80" w:before="180"/>
      </w:pPr>
      <w:r>
        <w:rPr>
          <w:rFonts w:ascii="Arial" w:cs="Arial" w:eastAsia="Arial" w:hAnsi="Arial"/>
          <w:b/>
          <w:bCs/>
          <w:color w:val="2C2C2C"/>
          <w:sz w:val="22"/>
          <w:szCs w:val="22"/>
        </w:rPr>
        <w:t xml:space="preserve">3.1 Aprendizaje significativo vs. aprendizaje mecánico</w:t>
      </w:r>
    </w:p>
    <w:p>
      <w:pPr>
        <w:spacing w:after="60" w:before="60"/>
      </w:pPr>
      <w:r>
        <w:rPr>
          <w:rFonts w:ascii="Arial" w:cs="Arial" w:eastAsia="Arial" w:hAnsi="Arial"/>
          <w:color w:val="2C2C2C"/>
          <w:sz w:val="20"/>
          <w:szCs w:val="20"/>
        </w:rPr>
        <w:t xml:space="preserve">La distinción central de Ausubel no es entre 'descubrimiento' y 'recepción', sino entre 'significativo' y 'mecánico':</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0C4BC" w:sz="1"/>
              <w:left w:val="single" w:color="D0C4BC" w:sz="1"/>
              <w:bottom w:val="single" w:color="D0C4BC" w:sz="1"/>
              <w:right w:val="single" w:color="D0C4BC" w:sz="1"/>
            </w:tcBorders>
            <w:shd w:fill="B85042" w:val="clear"/>
            <w:tcMar>
              <w:top w:type="dxa" w:w="80"/>
              <w:left w:type="dxa" w:w="140"/>
              <w:bottom w:type="dxa" w:w="80"/>
              <w:right w:type="dxa" w:w="80"/>
            </w:tcMar>
          </w:tcPr>
          <w:p>
            <w:r>
              <w:rPr>
                <w:rFonts w:ascii="Arial" w:cs="Arial" w:eastAsia="Arial" w:hAnsi="Arial"/>
                <w:b/>
                <w:bCs/>
                <w:color w:val="FFFFFF"/>
                <w:sz w:val="20"/>
                <w:szCs w:val="20"/>
              </w:rPr>
              <w:t xml:space="preserve">Aprendizaje mecánico</w:t>
            </w:r>
          </w:p>
        </w:tc>
        <w:tc>
          <w:tcPr>
            <w:tcW w:type="dxa" w:w="4600"/>
            <w:tcBorders>
              <w:top w:val="single" w:color="D0C4BC" w:sz="1"/>
              <w:left w:val="single" w:color="D0C4BC" w:sz="1"/>
              <w:bottom w:val="single" w:color="D0C4BC" w:sz="1"/>
              <w:right w:val="single" w:color="D0C4BC" w:sz="1"/>
            </w:tcBorders>
            <w:shd w:fill="C8793A" w:val="clear"/>
            <w:tcMar>
              <w:top w:type="dxa" w:w="80"/>
              <w:left w:type="dxa" w:w="140"/>
              <w:bottom w:type="dxa" w:w="80"/>
              <w:right w:type="dxa" w:w="80"/>
            </w:tcMar>
          </w:tcPr>
          <w:p>
            <w:r>
              <w:rPr>
                <w:rFonts w:ascii="Arial" w:cs="Arial" w:eastAsia="Arial" w:hAnsi="Arial"/>
                <w:b/>
                <w:bCs/>
                <w:color w:val="FFFFFF"/>
                <w:sz w:val="20"/>
                <w:szCs w:val="20"/>
              </w:rPr>
              <w:t xml:space="preserve">Aprendizaje significativo</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Se memoriza sin comprender.</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Se comprende conectando con lo que ya se sabe.</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El conocimiento nuevo queda aislado.</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El conocimiento nuevo se integra a la red existente.</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Se olvida fácilmente.</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Es duradero y transferible a situaciones nuevas.</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Ejemplo: repetir las letras del abecedario sin saber qué son.</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Ejemplo: asociar la M con el sonido inicial del nombre de mamá, que el niño ya conoce.</w:t>
            </w:r>
          </w:p>
        </w:tc>
      </w:tr>
    </w:tbl>
    <w:p>
      <w:pPr>
        <w:spacing w:before="80"/>
      </w:pPr>
    </w:p>
    <w:p>
      <w:pPr>
        <w:spacing w:after="60" w:before="60"/>
      </w:pPr>
      <w:r>
        <w:rPr>
          <w:rFonts w:ascii="Arial" w:cs="Arial" w:eastAsia="Arial" w:hAnsi="Arial"/>
          <w:color w:val="2C2C2C"/>
          <w:sz w:val="20"/>
          <w:szCs w:val="20"/>
        </w:rPr>
        <w:t xml:space="preserve">El aprendizaje puede ser receptivo y significativo al mismo tiempo. La docente que explica qué es la fotosíntesis de manera clara, conectando con lo que los niños ya saben sobre el sol y las plantas, promueve aprendizaje significativo aunque no lo 'descubran' por sí mismos.</w:t>
      </w:r>
    </w:p>
    <w:p>
      <w:pPr>
        <w:spacing w:after="80" w:before="180"/>
      </w:pPr>
      <w:r>
        <w:rPr>
          <w:rFonts w:ascii="Arial" w:cs="Arial" w:eastAsia="Arial" w:hAnsi="Arial"/>
          <w:b/>
          <w:bCs/>
          <w:color w:val="2C2C2C"/>
          <w:sz w:val="22"/>
          <w:szCs w:val="22"/>
        </w:rPr>
        <w:t xml:space="preserve">3.2 Condiciones para el aprendizaje significativo</w:t>
      </w:r>
    </w:p>
    <w:p>
      <w:pPr>
        <w:spacing w:after="60" w:before="60"/>
      </w:pPr>
      <w:r>
        <w:rPr>
          <w:rFonts w:ascii="Arial" w:cs="Arial" w:eastAsia="Arial" w:hAnsi="Arial"/>
          <w:color w:val="2C2C2C"/>
          <w:sz w:val="20"/>
          <w:szCs w:val="20"/>
        </w:rPr>
        <w:t xml:space="preserve">Para que un aprendizaje sea significativo, Ausubel plantea dos condiciones que deben darse simultáneamente:</w:t>
      </w:r>
    </w:p>
    <w:p>
      <w:pPr>
        <w:pStyle w:val="ListParagraph"/>
        <w:numPr>
          <w:ilvl w:val="0"/>
          <w:numId w:val="2"/>
        </w:numPr>
        <w:spacing w:after="40" w:before="40"/>
      </w:pPr>
      <w:r>
        <w:rPr>
          <w:rFonts w:ascii="Arial" w:cs="Arial" w:eastAsia="Arial" w:hAnsi="Arial"/>
          <w:color w:val="2C2C2C"/>
          <w:sz w:val="20"/>
          <w:szCs w:val="20"/>
        </w:rPr>
        <w:t xml:space="preserve">Material potencialmente significativo: la nueva información debe poder relacionarse de manera no arbitraria con la estructura cognitiva del sujeto. No puede ser un cúmulo de datos inconexos.</w:t>
      </w:r>
    </w:p>
    <w:p>
      <w:pPr>
        <w:pStyle w:val="ListParagraph"/>
        <w:numPr>
          <w:ilvl w:val="0"/>
          <w:numId w:val="2"/>
        </w:numPr>
        <w:spacing w:after="40" w:before="40"/>
      </w:pPr>
      <w:r>
        <w:rPr>
          <w:rFonts w:ascii="Arial" w:cs="Arial" w:eastAsia="Arial" w:hAnsi="Arial"/>
          <w:color w:val="2C2C2C"/>
          <w:sz w:val="20"/>
          <w:szCs w:val="20"/>
        </w:rPr>
        <w:t xml:space="preserve">Disposición del sujeto: el sujeto debe tener la intención de relacionar el nuevo conocimiento con lo que ya sabe. El aprendizaje significativo no ocurre de manera automática: requiere una actitud activa.</w:t>
      </w:r>
    </w:p>
    <w:p>
      <w:pPr>
        <w:spacing w:after="80" w:before="180"/>
      </w:pPr>
      <w:r>
        <w:rPr>
          <w:rFonts w:ascii="Arial" w:cs="Arial" w:eastAsia="Arial" w:hAnsi="Arial"/>
          <w:b/>
          <w:bCs/>
          <w:color w:val="2C2C2C"/>
          <w:sz w:val="22"/>
          <w:szCs w:val="22"/>
        </w:rPr>
        <w:t xml:space="preserve">3.3 Los subsumidores y los organizadores previos</w:t>
      </w:r>
    </w:p>
    <w:p>
      <w:pPr>
        <w:spacing w:after="60" w:before="60"/>
      </w:pPr>
      <w:r>
        <w:rPr>
          <w:rFonts w:ascii="Arial" w:cs="Arial" w:eastAsia="Arial" w:hAnsi="Arial"/>
          <w:color w:val="2C2C2C"/>
          <w:sz w:val="20"/>
          <w:szCs w:val="20"/>
        </w:rPr>
        <w:t xml:space="preserve">Ausubel llama subsumidores a las ideas y conceptos que ya existen en la estructura cognitiva del sujeto y que sirven de 'anzuelo' para anclar el nuevo conocimiento. Si no existen subsumidores adecuados, el aprendizaje significativo es difícil o imposible.</w:t>
      </w:r>
    </w:p>
    <w:p>
      <w:pPr>
        <w:spacing w:after="60" w:before="60"/>
      </w:pPr>
      <w:r>
        <w:rPr>
          <w:rFonts w:ascii="Arial" w:cs="Arial" w:eastAsia="Arial" w:hAnsi="Arial"/>
          <w:color w:val="2C2C2C"/>
          <w:sz w:val="20"/>
          <w:szCs w:val="20"/>
        </w:rPr>
        <w:t xml:space="preserve">Por eso, Ausubel propone el uso de organizadores previos: presentaciones introductorias que activan o construyen los subsumidores necesarios antes de presentar el contenido nuevo. En el jardín, esto equivale a activar los saberes previos de los niños antes de iniciar una propuesta: '¿qué saben sobre los animales del mar?' antes de comenzar una unidad sobre el océano.</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tcBorders>
              <w:top w:val="single" w:color="D0C4BC" w:sz="1"/>
              <w:left w:val="single" w:color="D0C4BC" w:sz="1"/>
              <w:bottom w:val="single" w:color="D0C4BC" w:sz="1"/>
              <w:right w:val="single" w:color="D0C4BC" w:sz="1"/>
            </w:tcBorders>
            <w:shd w:fill="B85042" w:val="clear"/>
            <w:tcMar>
              <w:top w:type="dxa" w:w="80"/>
              <w:left w:type="dxa" w:w="160"/>
              <w:bottom w:type="dxa" w:w="80"/>
              <w:right w:type="dxa" w:w="160"/>
            </w:tcMar>
          </w:tcPr>
          <w:p>
            <w:r>
              <w:rPr>
                <w:rFonts w:ascii="Arial" w:cs="Arial" w:eastAsia="Arial" w:hAnsi="Arial"/>
                <w:b/>
                <w:bCs/>
                <w:color w:val="FFFFFF"/>
                <w:sz w:val="20"/>
                <w:szCs w:val="20"/>
              </w:rPr>
              <w:t xml:space="preserve">EN LA SALA DE NIVEL INICIAL</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i w:val="false"/>
                <w:iCs w:val="false"/>
                <w:color w:val="2C2C2C"/>
                <w:sz w:val="20"/>
                <w:szCs w:val="20"/>
              </w:rPr>
              <w:t xml:space="preserve">Una docente va a trabajar con los niños sobre los medios de transporte. Antes de presentar cualquier información, pregunta: '¿En qué vinieron hoy? ¿Cuántos vinieron caminando? ¿Alguien vino en colectivo? ¿Qué otros transportes conocen?' Anota todo en un afiche. Esta activación no es 'calentamiento': es la construcción de los subsumidores a los que se anclarán los contenidos nuevos. Al final de la unidad, vuelven al afiche y ven qué aprendieron y qué cambió en sus ideas. Eso es aprendizaje significativo.</w:t>
            </w:r>
          </w:p>
        </w:tc>
      </w:tr>
    </w:tbl>
    <w:p>
      <w:pPr>
        <w:spacing w:before="100"/>
      </w:pP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4. Bruner y Ausubel: convergencias y diferencias</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0C4BC" w:sz="1"/>
              <w:left w:val="single" w:color="D0C4BC" w:sz="1"/>
              <w:bottom w:val="single" w:color="D0C4BC" w:sz="1"/>
              <w:right w:val="single" w:color="D0C4BC" w:sz="1"/>
            </w:tcBorders>
            <w:shd w:fill="B85042" w:val="clear"/>
            <w:tcMar>
              <w:top w:type="dxa" w:w="80"/>
              <w:left w:type="dxa" w:w="140"/>
              <w:bottom w:type="dxa" w:w="80"/>
              <w:right w:type="dxa" w:w="80"/>
            </w:tcMar>
          </w:tcPr>
          <w:p>
            <w:r>
              <w:rPr>
                <w:rFonts w:ascii="Arial" w:cs="Arial" w:eastAsia="Arial" w:hAnsi="Arial"/>
                <w:b/>
                <w:bCs/>
                <w:color w:val="FFFFFF"/>
                <w:sz w:val="20"/>
                <w:szCs w:val="20"/>
              </w:rPr>
              <w:t xml:space="preserve">BRUNER</w:t>
            </w:r>
          </w:p>
        </w:tc>
        <w:tc>
          <w:tcPr>
            <w:tcW w:type="dxa" w:w="4600"/>
            <w:tcBorders>
              <w:top w:val="single" w:color="D0C4BC" w:sz="1"/>
              <w:left w:val="single" w:color="D0C4BC" w:sz="1"/>
              <w:bottom w:val="single" w:color="D0C4BC" w:sz="1"/>
              <w:right w:val="single" w:color="D0C4BC" w:sz="1"/>
            </w:tcBorders>
            <w:shd w:fill="C8793A" w:val="clear"/>
            <w:tcMar>
              <w:top w:type="dxa" w:w="80"/>
              <w:left w:type="dxa" w:w="140"/>
              <w:bottom w:type="dxa" w:w="80"/>
              <w:right w:type="dxa" w:w="80"/>
            </w:tcMar>
          </w:tcPr>
          <w:p>
            <w:r>
              <w:rPr>
                <w:rFonts w:ascii="Arial" w:cs="Arial" w:eastAsia="Arial" w:hAnsi="Arial"/>
                <w:b/>
                <w:bCs/>
                <w:color w:val="FFFFFF"/>
                <w:sz w:val="20"/>
                <w:szCs w:val="20"/>
              </w:rPr>
              <w:t xml:space="preserve">AUSUBEL</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El conocimiento se construye descubriéndolo.</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El conocimiento puede recibirse significativamente.</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El docente facilita y no da la respuesta de antemano.</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El docente puede transmitir si activa los saberes previos.</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Énfasis en la exploración y la actividad del sujeto.</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Énfasis en la conexión con la estructura cognitiva previa.</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Modos de representación: enactivo, icónico, simbólico.</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Subsumidores y organizadores previos.</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Currículum en espiral.</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Material potencialmente significativo + disposición del sujeto.</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Punto de contacto: el aprendizaje requiere actividad mental del sujeto y conexión con lo previo.</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
            </w:r>
          </w:p>
        </w:tc>
      </w:tr>
    </w:tbl>
    <w:p>
      <w:pPr>
        <w:spacing w:before="100"/>
      </w:pP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5. Implicancias para el nivel inicial</w:t>
      </w:r>
    </w:p>
    <w:p>
      <w:pPr>
        <w:spacing w:after="60" w:before="60"/>
      </w:pPr>
      <w:r>
        <w:rPr>
          <w:rFonts w:ascii="Arial" w:cs="Arial" w:eastAsia="Arial" w:hAnsi="Arial"/>
          <w:color w:val="2C2C2C"/>
          <w:sz w:val="20"/>
          <w:szCs w:val="20"/>
        </w:rPr>
        <w:t xml:space="preserve">Las aportaciones de Bruner y Ausubel tienen consecuencias muy concretas para las docentes jardineras:</w:t>
      </w:r>
    </w:p>
    <w:p>
      <w:pPr>
        <w:pStyle w:val="ListParagraph"/>
        <w:numPr>
          <w:ilvl w:val="0"/>
          <w:numId w:val="2"/>
        </w:numPr>
        <w:spacing w:after="40" w:before="40"/>
      </w:pPr>
      <w:r>
        <w:rPr>
          <w:rFonts w:ascii="Arial" w:cs="Arial" w:eastAsia="Arial" w:hAnsi="Arial"/>
          <w:color w:val="2C2C2C"/>
          <w:sz w:val="20"/>
          <w:szCs w:val="20"/>
        </w:rPr>
        <w:t xml:space="preserve">Conocer los saberes previos de los niños antes de iniciar cualquier propuesta (Ausubel). Esto no es un trámite: es la condición del aprendizaje significativo.</w:t>
      </w:r>
    </w:p>
    <w:p>
      <w:pPr>
        <w:pStyle w:val="ListParagraph"/>
        <w:numPr>
          <w:ilvl w:val="0"/>
          <w:numId w:val="2"/>
        </w:numPr>
        <w:spacing w:after="40" w:before="40"/>
      </w:pPr>
      <w:r>
        <w:rPr>
          <w:rFonts w:ascii="Arial" w:cs="Arial" w:eastAsia="Arial" w:hAnsi="Arial"/>
          <w:color w:val="2C2C2C"/>
          <w:sz w:val="20"/>
          <w:szCs w:val="20"/>
        </w:rPr>
        <w:t xml:space="preserve">Diseñar actividades que permitan la exploración activa y el descubrimiento, especialmente a través de los modos enactivo e icónico (Bruner).</w:t>
      </w:r>
    </w:p>
    <w:p>
      <w:pPr>
        <w:pStyle w:val="ListParagraph"/>
        <w:numPr>
          <w:ilvl w:val="0"/>
          <w:numId w:val="2"/>
        </w:numPr>
        <w:spacing w:after="40" w:before="40"/>
      </w:pPr>
      <w:r>
        <w:rPr>
          <w:rFonts w:ascii="Arial" w:cs="Arial" w:eastAsia="Arial" w:hAnsi="Arial"/>
          <w:color w:val="2C2C2C"/>
          <w:sz w:val="20"/>
          <w:szCs w:val="20"/>
        </w:rPr>
        <w:t xml:space="preserve">No dar la respuesta de entrada. Preguntar, esperar, acompañar. La pregunta es una herramienta pedagógica más potente que la explicación.</w:t>
      </w:r>
    </w:p>
    <w:p>
      <w:pPr>
        <w:pStyle w:val="ListParagraph"/>
        <w:numPr>
          <w:ilvl w:val="0"/>
          <w:numId w:val="2"/>
        </w:numPr>
        <w:spacing w:after="40" w:before="40"/>
      </w:pPr>
      <w:r>
        <w:rPr>
          <w:rFonts w:ascii="Arial" w:cs="Arial" w:eastAsia="Arial" w:hAnsi="Arial"/>
          <w:color w:val="2C2C2C"/>
          <w:sz w:val="20"/>
          <w:szCs w:val="20"/>
        </w:rPr>
        <w:t xml:space="preserve">Tratar el error como información, no como fracaso. El error dice algo sobre cómo el niño está construyendo conocimiento.</w:t>
      </w:r>
    </w:p>
    <w:p>
      <w:pPr>
        <w:pStyle w:val="ListParagraph"/>
        <w:numPr>
          <w:ilvl w:val="0"/>
          <w:numId w:val="2"/>
        </w:numPr>
        <w:spacing w:after="40" w:before="40"/>
      </w:pPr>
      <w:r>
        <w:rPr>
          <w:rFonts w:ascii="Arial" w:cs="Arial" w:eastAsia="Arial" w:hAnsi="Arial"/>
          <w:color w:val="2C2C2C"/>
          <w:sz w:val="20"/>
          <w:szCs w:val="20"/>
        </w:rPr>
        <w:t xml:space="preserve">Retomar los mismos contenidos en distintos momentos con mayor complejidad: diseñar en espiral, no en secuencias lineales de una sola vez.</w:t>
      </w: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Glosario de conceptos clave · Clase 7</w:t>
      </w:r>
    </w:p>
    <w:p>
      <w:pPr>
        <w:spacing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tcBorders>
              <w:top w:val="single" w:color="D0C4BC" w:sz="1"/>
              <w:left w:val="single" w:color="D0C4BC" w:sz="1"/>
              <w:bottom w:val="single" w:color="D0C4BC" w:sz="1"/>
              <w:right w:val="single" w:color="D0C4BC" w:sz="1"/>
            </w:tcBorders>
            <w:shd w:fill="B85042" w:val="clear"/>
            <w:tcMar>
              <w:top w:type="dxa" w:w="80"/>
              <w:left w:type="dxa" w:w="160"/>
              <w:bottom w:type="dxa" w:w="80"/>
              <w:right w:type="dxa" w:w="160"/>
            </w:tcMar>
          </w:tcPr>
          <w:p>
            <w:r>
              <w:rPr>
                <w:rFonts w:ascii="Arial" w:cs="Arial" w:eastAsia="Arial" w:hAnsi="Arial"/>
                <w:b/>
                <w:bCs/>
                <w:color w:val="FFFFFF"/>
                <w:sz w:val="20"/>
                <w:szCs w:val="20"/>
              </w:rPr>
              <w:t xml:space="preserve">Aprendizaje por descubrimiento (Bruner)</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i w:val="false"/>
                <w:iCs w:val="false"/>
                <w:color w:val="2C2C2C"/>
                <w:sz w:val="20"/>
                <w:szCs w:val="20"/>
              </w:rPr>
              <w:t xml:space="preserve">Forma de aprendizaje en la que el sujeto construye el conocimiento a través de la exploración activa, la formulación de hipótesis y la resolución de problemas. La docente no presenta el conocimiento como producto terminado sino que genera condiciones para que el sujeto lo construya.</w:t>
            </w:r>
          </w:p>
        </w:tc>
      </w:tr>
    </w:tbl>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tcBorders>
              <w:top w:val="single" w:color="D0C4BC" w:sz="1"/>
              <w:left w:val="single" w:color="D0C4BC" w:sz="1"/>
              <w:bottom w:val="single" w:color="D0C4BC" w:sz="1"/>
              <w:right w:val="single" w:color="D0C4BC" w:sz="1"/>
            </w:tcBorders>
            <w:shd w:fill="B85042" w:val="clear"/>
            <w:tcMar>
              <w:top w:type="dxa" w:w="80"/>
              <w:left w:type="dxa" w:w="160"/>
              <w:bottom w:type="dxa" w:w="80"/>
              <w:right w:type="dxa" w:w="160"/>
            </w:tcMar>
          </w:tcPr>
          <w:p>
            <w:r>
              <w:rPr>
                <w:rFonts w:ascii="Arial" w:cs="Arial" w:eastAsia="Arial" w:hAnsi="Arial"/>
                <w:b/>
                <w:bCs/>
                <w:color w:val="FFFFFF"/>
                <w:sz w:val="20"/>
                <w:szCs w:val="20"/>
              </w:rPr>
              <w:t xml:space="preserve">Modos de representación (Bruner)</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i w:val="false"/>
                <w:iCs w:val="false"/>
                <w:color w:val="2C2C2C"/>
                <w:sz w:val="20"/>
                <w:szCs w:val="20"/>
              </w:rPr>
              <w:t xml:space="preserve">Tres formas de representar el conocimiento: enactivo (acción), icónico (imágenes) y simbólico (lenguaje y símbolos abstractos). Coexisten y se combinan. En el nivel inicial, predominan los dos primeros.</w:t>
            </w:r>
          </w:p>
        </w:tc>
      </w:tr>
    </w:tbl>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tcBorders>
              <w:top w:val="single" w:color="D0C4BC" w:sz="1"/>
              <w:left w:val="single" w:color="D0C4BC" w:sz="1"/>
              <w:bottom w:val="single" w:color="D0C4BC" w:sz="1"/>
              <w:right w:val="single" w:color="D0C4BC" w:sz="1"/>
            </w:tcBorders>
            <w:shd w:fill="B85042" w:val="clear"/>
            <w:tcMar>
              <w:top w:type="dxa" w:w="80"/>
              <w:left w:type="dxa" w:w="160"/>
              <w:bottom w:type="dxa" w:w="80"/>
              <w:right w:type="dxa" w:w="160"/>
            </w:tcMar>
          </w:tcPr>
          <w:p>
            <w:r>
              <w:rPr>
                <w:rFonts w:ascii="Arial" w:cs="Arial" w:eastAsia="Arial" w:hAnsi="Arial"/>
                <w:b/>
                <w:bCs/>
                <w:color w:val="FFFFFF"/>
                <w:sz w:val="20"/>
                <w:szCs w:val="20"/>
              </w:rPr>
              <w:t xml:space="preserve">Currículum en espiral (Bruner)</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i w:val="false"/>
                <w:iCs w:val="false"/>
                <w:color w:val="2C2C2C"/>
                <w:sz w:val="20"/>
                <w:szCs w:val="20"/>
              </w:rPr>
              <w:t xml:space="preserve">Propuesta de organización curricular en la que los mismos contenidos se retoman en distintos momentos del desarrollo con mayor complejidad. Ningún contenido es demasiado difícil si se presenta de manera adecuada al modo de representación del sujeto.</w:t>
            </w:r>
          </w:p>
        </w:tc>
      </w:tr>
    </w:tbl>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tcBorders>
              <w:top w:val="single" w:color="D0C4BC" w:sz="1"/>
              <w:left w:val="single" w:color="D0C4BC" w:sz="1"/>
              <w:bottom w:val="single" w:color="D0C4BC" w:sz="1"/>
              <w:right w:val="single" w:color="D0C4BC" w:sz="1"/>
            </w:tcBorders>
            <w:shd w:fill="B85042" w:val="clear"/>
            <w:tcMar>
              <w:top w:type="dxa" w:w="80"/>
              <w:left w:type="dxa" w:w="160"/>
              <w:bottom w:type="dxa" w:w="80"/>
              <w:right w:type="dxa" w:w="160"/>
            </w:tcMar>
          </w:tcPr>
          <w:p>
            <w:r>
              <w:rPr>
                <w:rFonts w:ascii="Arial" w:cs="Arial" w:eastAsia="Arial" w:hAnsi="Arial"/>
                <w:b/>
                <w:bCs/>
                <w:color w:val="FFFFFF"/>
                <w:sz w:val="20"/>
                <w:szCs w:val="20"/>
              </w:rPr>
              <w:t xml:space="preserve">Aprendizaje significativo (Ausubel)</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i w:val="false"/>
                <w:iCs w:val="false"/>
                <w:color w:val="2C2C2C"/>
                <w:sz w:val="20"/>
                <w:szCs w:val="20"/>
              </w:rPr>
              <w:t xml:space="preserve">Aprendizaje que ocurre cuando el nuevo conocimiento se conecta de manera no arbitraria con las ideas y conceptos que ya existen en la estructura cognitiva del sujeto. Es duradero y transferible. Se opone al aprendizaje mecánico, que es memorístico y aislado.</w:t>
            </w:r>
          </w:p>
        </w:tc>
      </w:tr>
    </w:tbl>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tcBorders>
              <w:top w:val="single" w:color="D0C4BC" w:sz="1"/>
              <w:left w:val="single" w:color="D0C4BC" w:sz="1"/>
              <w:bottom w:val="single" w:color="D0C4BC" w:sz="1"/>
              <w:right w:val="single" w:color="D0C4BC" w:sz="1"/>
            </w:tcBorders>
            <w:shd w:fill="B85042" w:val="clear"/>
            <w:tcMar>
              <w:top w:type="dxa" w:w="80"/>
              <w:left w:type="dxa" w:w="160"/>
              <w:bottom w:type="dxa" w:w="80"/>
              <w:right w:type="dxa" w:w="160"/>
            </w:tcMar>
          </w:tcPr>
          <w:p>
            <w:r>
              <w:rPr>
                <w:rFonts w:ascii="Arial" w:cs="Arial" w:eastAsia="Arial" w:hAnsi="Arial"/>
                <w:b/>
                <w:bCs/>
                <w:color w:val="FFFFFF"/>
                <w:sz w:val="20"/>
                <w:szCs w:val="20"/>
              </w:rPr>
              <w:t xml:space="preserve">Subsumidores (Ausubel)</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i w:val="false"/>
                <w:iCs w:val="false"/>
                <w:color w:val="2C2C2C"/>
                <w:sz w:val="20"/>
                <w:szCs w:val="20"/>
              </w:rPr>
              <w:t xml:space="preserve">Ideas y conceptos ya existentes en la estructura cognitiva que sirven de anclaje para el nuevo conocimiento. Sin subsumidores adecuados, el aprendizaje significativo es difícil. La docente puede construirlos con organizadores previos.</w:t>
            </w:r>
          </w:p>
        </w:tc>
      </w:tr>
    </w:tbl>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200"/>
      </w:tblGrid>
      <w:tr>
        <w:tc>
          <w:tcPr>
            <w:tcW w:type="dxa" w:w="9200"/>
            <w:tcBorders>
              <w:top w:val="single" w:color="D0C4BC" w:sz="1"/>
              <w:left w:val="single" w:color="D0C4BC" w:sz="1"/>
              <w:bottom w:val="single" w:color="D0C4BC" w:sz="1"/>
              <w:right w:val="single" w:color="D0C4BC" w:sz="1"/>
            </w:tcBorders>
            <w:shd w:fill="B85042" w:val="clear"/>
            <w:tcMar>
              <w:top w:type="dxa" w:w="80"/>
              <w:left w:type="dxa" w:w="160"/>
              <w:bottom w:type="dxa" w:w="80"/>
              <w:right w:type="dxa" w:w="160"/>
            </w:tcMar>
          </w:tcPr>
          <w:p>
            <w:r>
              <w:rPr>
                <w:rFonts w:ascii="Arial" w:cs="Arial" w:eastAsia="Arial" w:hAnsi="Arial"/>
                <w:b/>
                <w:bCs/>
                <w:color w:val="FFFFFF"/>
                <w:sz w:val="20"/>
                <w:szCs w:val="20"/>
              </w:rPr>
              <w:t xml:space="preserve">Organizadores previos (Ausubel)</w:t>
            </w:r>
          </w:p>
        </w:tc>
      </w:tr>
      <w:tr>
        <w:tc>
          <w:tcPr>
            <w:tcW w:type="dxa" w:w="9200"/>
            <w:tcBorders>
              <w:top w:val="single" w:color="D0C4BC" w:sz="1"/>
              <w:left w:val="single" w:color="D0C4BC" w:sz="1"/>
              <w:bottom w:val="single" w:color="D0C4BC" w:sz="1"/>
              <w:right w:val="single" w:color="D0C4BC" w:sz="1"/>
            </w:tcBorders>
            <w:shd w:fill="F5F4F0" w:val="clear"/>
            <w:tcMar>
              <w:top w:type="dxa" w:w="100"/>
              <w:left w:type="dxa" w:w="160"/>
              <w:bottom w:type="dxa" w:w="100"/>
              <w:right w:type="dxa" w:w="160"/>
            </w:tcMar>
          </w:tcPr>
          <w:p>
            <w:r>
              <w:rPr>
                <w:rFonts w:ascii="Arial" w:cs="Arial" w:eastAsia="Arial" w:hAnsi="Arial"/>
                <w:i w:val="false"/>
                <w:iCs w:val="false"/>
                <w:color w:val="2C2C2C"/>
                <w:sz w:val="20"/>
                <w:szCs w:val="20"/>
              </w:rPr>
              <w:t xml:space="preserve">Presentaciones introductorias que activan o construyen los subsumidores necesarios antes de presentar el contenido nuevo. En el jardín: preguntar '¿qué saben sobre...?' al comienzo de una unidad.</w:t>
            </w:r>
          </w:p>
        </w:tc>
      </w:tr>
    </w:tbl>
    <w:p>
      <w:pPr>
        <w:spacing w:before="120"/>
      </w:pP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Material de trabajo · Clase 7</w:t>
      </w:r>
    </w:p>
    <w:p>
      <w:pPr>
        <w:spacing w:after="60" w:before="80"/>
      </w:pPr>
      <w:r>
        <w:rPr>
          <w:rFonts w:ascii="Arial" w:cs="Arial" w:eastAsia="Arial" w:hAnsi="Arial"/>
          <w:b/>
          <w:bCs/>
          <w:color w:val="2C2C2C"/>
          <w:sz w:val="22"/>
          <w:szCs w:val="22"/>
        </w:rPr>
        <w:t xml:space="preserve">Cuadro comparativo: Bruner y Ausubel</w:t>
      </w:r>
    </w:p>
    <w:p>
      <w:pPr>
        <w:spacing w:after="60" w:before="60"/>
      </w:pPr>
      <w:r>
        <w:rPr>
          <w:rFonts w:ascii="Arial" w:cs="Arial" w:eastAsia="Arial" w:hAnsi="Arial"/>
          <w:color w:val="2C2C2C"/>
          <w:sz w:val="20"/>
          <w:szCs w:val="20"/>
        </w:rPr>
        <w:t xml:space="preserve">Completá el cuadro durante la clase. Podés anotar palabras clave, frases cortas o ejemplos del nivel inicial.</w:t>
      </w:r>
    </w:p>
    <w:p>
      <w:pPr>
        <w:spacing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0C4BC" w:sz="1"/>
              <w:left w:val="single" w:color="D0C4BC" w:sz="1"/>
              <w:bottom w:val="single" w:color="D0C4BC" w:sz="1"/>
              <w:right w:val="single" w:color="D0C4BC" w:sz="1"/>
            </w:tcBorders>
            <w:shd w:fill="B85042" w:val="clear"/>
            <w:tcMar>
              <w:top w:type="dxa" w:w="80"/>
              <w:left w:type="dxa" w:w="140"/>
              <w:bottom w:type="dxa" w:w="80"/>
              <w:right w:type="dxa" w:w="80"/>
            </w:tcMar>
          </w:tcPr>
          <w:p>
            <w:r>
              <w:rPr>
                <w:rFonts w:ascii="Arial" w:cs="Arial" w:eastAsia="Arial" w:hAnsi="Arial"/>
                <w:b/>
                <w:bCs/>
                <w:color w:val="FFFFFF"/>
                <w:sz w:val="20"/>
                <w:szCs w:val="20"/>
              </w:rPr>
              <w:t xml:space="preserve">Dimensión</w:t>
            </w:r>
          </w:p>
        </w:tc>
        <w:tc>
          <w:tcPr>
            <w:tcW w:type="dxa" w:w="4600"/>
            <w:tcBorders>
              <w:top w:val="single" w:color="D0C4BC" w:sz="1"/>
              <w:left w:val="single" w:color="D0C4BC" w:sz="1"/>
              <w:bottom w:val="single" w:color="D0C4BC" w:sz="1"/>
              <w:right w:val="single" w:color="D0C4BC" w:sz="1"/>
            </w:tcBorders>
            <w:shd w:fill="C8793A" w:val="clear"/>
            <w:tcMar>
              <w:top w:type="dxa" w:w="80"/>
              <w:left w:type="dxa" w:w="140"/>
              <w:bottom w:type="dxa" w:w="80"/>
              <w:right w:type="dxa" w:w="80"/>
            </w:tcMar>
          </w:tcPr>
          <w:p>
            <w:r>
              <w:rPr>
                <w:rFonts w:ascii="Arial" w:cs="Arial" w:eastAsia="Arial" w:hAnsi="Arial"/>
                <w:b/>
                <w:bCs/>
                <w:color w:val="FFFFFF"/>
                <w:sz w:val="20"/>
                <w:szCs w:val="20"/>
              </w:rPr>
              <w:t xml:space="preserve">BRUNER     |     AUSUBEL</w:t>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Concepción del aprendizaje</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Rol de la docente</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Rol del error</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¿Qué se activa antes de enseñar?</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Concepto clave</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Ejemplo en sala de jardín</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
            </w:r>
          </w:p>
        </w:tc>
      </w:tr>
      <w:tr>
        <w:tc>
          <w:tcPr>
            <w:tcW w:type="dxa" w:w="4600"/>
            <w:tcBorders>
              <w:top w:val="single" w:color="D0C4BC" w:sz="1"/>
              <w:left w:val="single" w:color="D0C4BC" w:sz="1"/>
              <w:bottom w:val="single" w:color="D0C4BC" w:sz="1"/>
              <w:right w:val="single" w:color="D0C4BC" w:sz="1"/>
            </w:tcBorders>
            <w:shd w:fill="F5F4F0" w:val="clear"/>
            <w:tcMar>
              <w:top w:type="dxa" w:w="80"/>
              <w:left w:type="dxa" w:w="140"/>
              <w:bottom w:type="dxa" w:w="80"/>
              <w:right w:type="dxa" w:w="80"/>
            </w:tcMar>
          </w:tcPr>
          <w:p>
            <w:r>
              <w:rPr>
                <w:rFonts w:ascii="Arial" w:cs="Arial" w:eastAsia="Arial" w:hAnsi="Arial"/>
                <w:color w:val="2C2C2C"/>
                <w:sz w:val="18"/>
                <w:szCs w:val="18"/>
              </w:rPr>
              <w:t xml:space="preserve">Aporte principal a la práctica docente</w:t>
            </w:r>
          </w:p>
        </w:tc>
        <w:tc>
          <w:tcPr>
            <w:tcW w:type="dxa" w:w="4600"/>
            <w:tcBorders>
              <w:top w:val="single" w:color="D0C4BC" w:sz="1"/>
              <w:left w:val="single" w:color="D0C4BC" w:sz="1"/>
              <w:bottom w:val="single" w:color="D0C4BC" w:sz="1"/>
              <w:right w:val="single" w:color="D0C4BC" w:sz="1"/>
            </w:tcBorders>
            <w:shd w:fill="FFFFFF" w:val="clear"/>
            <w:tcMar>
              <w:top w:type="dxa" w:w="80"/>
              <w:left w:type="dxa" w:w="140"/>
              <w:bottom w:type="dxa" w:w="80"/>
              <w:right w:type="dxa" w:w="80"/>
            </w:tcMar>
          </w:tcPr>
          <w:p>
            <w:r>
              <w:rPr>
                <w:rFonts w:ascii="Arial" w:cs="Arial" w:eastAsia="Arial" w:hAnsi="Arial"/>
                <w:color w:val="2C2C2C"/>
                <w:sz w:val="18"/>
                <w:szCs w:val="18"/>
              </w:rPr>
              <w:t xml:space="preserve"/>
            </w:r>
          </w:p>
        </w:tc>
      </w:tr>
    </w:tbl>
    <w:p>
      <w:pPr>
        <w:spacing w:before="100"/>
      </w:pPr>
    </w:p>
    <w:p>
      <w:pPr>
        <w:spacing w:after="60" w:before="80"/>
      </w:pPr>
      <w:r>
        <w:rPr>
          <w:rFonts w:ascii="Arial" w:cs="Arial" w:eastAsia="Arial" w:hAnsi="Arial"/>
          <w:b/>
          <w:bCs/>
          <w:color w:val="2C2C2C"/>
          <w:sz w:val="22"/>
          <w:szCs w:val="22"/>
        </w:rPr>
        <w:t xml:space="preserve">Situaciones de sala para análisis grupal</w:t>
      </w:r>
    </w:p>
    <w:p>
      <w:pPr>
        <w:spacing w:after="60" w:before="60"/>
      </w:pPr>
      <w:r>
        <w:rPr>
          <w:rFonts w:ascii="Arial" w:cs="Arial" w:eastAsia="Arial" w:hAnsi="Arial"/>
          <w:color w:val="2C2C2C"/>
          <w:sz w:val="20"/>
          <w:szCs w:val="20"/>
        </w:rPr>
        <w:t xml:space="preserve">Para cada situación: (a) identificá qué teoría fundamenta la práctica, (b) señalá qué cambiarías desde el otro enfoque, (c) describí el rol de la docente en cada caso.</w:t>
      </w:r>
    </w:p>
    <w:p>
      <w:pPr>
        <w:spacing w:before="80"/>
      </w:pPr>
    </w:p>
    <w:p>
      <w:pPr>
        <w:spacing w:after="40" w:before="60"/>
      </w:pPr>
      <w:r>
        <w:rPr>
          <w:rFonts w:ascii="Arial" w:cs="Arial" w:eastAsia="Arial" w:hAnsi="Arial"/>
          <w:b/>
          <w:bCs/>
          <w:color w:val="B85042"/>
          <w:sz w:val="20"/>
          <w:szCs w:val="20"/>
        </w:rPr>
        <w:t xml:space="preserve">Situación A — Sala de 4 años</w:t>
      </w:r>
    </w:p>
    <w:p>
      <w:pPr>
        <w:spacing w:after="60" w:before="60"/>
      </w:pPr>
      <w:r>
        <w:rPr>
          <w:rFonts w:ascii="Arial" w:cs="Arial" w:eastAsia="Arial" w:hAnsi="Arial"/>
          <w:color w:val="2C2C2C"/>
          <w:sz w:val="20"/>
          <w:szCs w:val="20"/>
        </w:rPr>
        <w:t xml:space="preserve">La docente decide trabajar la noción de 'más y menos'. Reúne al grupo y les explica: 'Cinco es más que tres. Ahora, díganme: ¿cuántos lápices hay en esta caja?' Muestra 5 lápices. '¿Y cuántos aquí?' Muestra 3. 'Entonces, ¿en cuál hay más?' Los niños responden. La docente corrige o valida cada respuesta. Al finalizar, hace una ficha de ejercitación en la que hay que encerrar el grupo más grande.</w:t>
      </w:r>
    </w:p>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D0C4BC" w:sz="1"/>
              <w:left w:val="single" w:color="D0C4BC" w:sz="1"/>
              <w:bottom w:val="single" w:color="D0C4BC" w:sz="1"/>
              <w:right w:val="single" w:color="D0C4BC" w:sz="1"/>
            </w:tcBorders>
            <w:shd w:fill="EDD5C5" w:val="clear"/>
            <w:tcMar>
              <w:top w:type="dxa" w:w="80"/>
              <w:left w:type="dxa" w:w="120"/>
              <w:bottom w:type="dxa" w:w="80"/>
              <w:right w:type="dxa" w:w="80"/>
            </w:tcMar>
          </w:tcPr>
          <w:p>
            <w:r>
              <w:rPr>
                <w:rFonts w:ascii="Arial" w:cs="Arial" w:eastAsia="Arial" w:hAnsi="Arial"/>
                <w:b/>
                <w:bCs/>
                <w:color w:val="B85042"/>
                <w:sz w:val="19"/>
                <w:szCs w:val="19"/>
              </w:rPr>
              <w:t xml:space="preserve">Teoría identificada</w:t>
            </w:r>
          </w:p>
        </w:tc>
        <w:tc>
          <w:tcPr>
            <w:tcW w:type="dxa" w:w="7000"/>
            <w:tcBorders>
              <w:top w:val="single" w:color="D0C4BC" w:sz="1"/>
              <w:left w:val="single" w:color="D0C4BC" w:sz="1"/>
              <w:bottom w:val="single" w:color="D0C4BC" w:sz="1"/>
              <w:right w:val="single" w:color="D0C4BC" w:sz="1"/>
            </w:tcBorders>
            <w:shd w:fill="FFFFFF" w:val="clear"/>
            <w:tcMar>
              <w:top w:type="dxa" w:w="80"/>
              <w:left w:type="dxa" w:w="120"/>
              <w:bottom w:type="dxa" w:w="80"/>
              <w:right w:type="dxa" w:w="80"/>
            </w:tcMa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D0C4BC" w:sz="1"/>
              <w:left w:val="single" w:color="D0C4BC" w:sz="1"/>
              <w:bottom w:val="single" w:color="D0C4BC" w:sz="1"/>
              <w:right w:val="single" w:color="D0C4BC" w:sz="1"/>
            </w:tcBorders>
            <w:shd w:fill="EDD5C5" w:val="clear"/>
            <w:tcMar>
              <w:top w:type="dxa" w:w="80"/>
              <w:left w:type="dxa" w:w="120"/>
              <w:bottom w:type="dxa" w:w="80"/>
              <w:right w:type="dxa" w:w="80"/>
            </w:tcMar>
          </w:tcPr>
          <w:p>
            <w:r>
              <w:rPr>
                <w:rFonts w:ascii="Arial" w:cs="Arial" w:eastAsia="Arial" w:hAnsi="Arial"/>
                <w:b/>
                <w:bCs/>
                <w:color w:val="B85042"/>
                <w:sz w:val="19"/>
                <w:szCs w:val="19"/>
              </w:rPr>
              <w:t xml:space="preserve">¿Qué cambiarías desde la otra teoría?</w:t>
            </w:r>
          </w:p>
        </w:tc>
        <w:tc>
          <w:tcPr>
            <w:tcW w:type="dxa" w:w="7000"/>
            <w:tcBorders>
              <w:top w:val="single" w:color="D0C4BC" w:sz="1"/>
              <w:left w:val="single" w:color="D0C4BC" w:sz="1"/>
              <w:bottom w:val="single" w:color="D0C4BC" w:sz="1"/>
              <w:right w:val="single" w:color="D0C4BC" w:sz="1"/>
            </w:tcBorders>
            <w:shd w:fill="FFFFFF" w:val="clear"/>
            <w:tcMar>
              <w:top w:type="dxa" w:w="80"/>
              <w:left w:type="dxa" w:w="120"/>
              <w:bottom w:type="dxa" w:w="80"/>
              <w:right w:type="dxa" w:w="80"/>
            </w:tcMa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D0C4BC" w:sz="1"/>
              <w:left w:val="single" w:color="D0C4BC" w:sz="1"/>
              <w:bottom w:val="single" w:color="D0C4BC" w:sz="1"/>
              <w:right w:val="single" w:color="D0C4BC" w:sz="1"/>
            </w:tcBorders>
            <w:shd w:fill="EDD5C5" w:val="clear"/>
            <w:tcMar>
              <w:top w:type="dxa" w:w="80"/>
              <w:left w:type="dxa" w:w="120"/>
              <w:bottom w:type="dxa" w:w="80"/>
              <w:right w:type="dxa" w:w="80"/>
            </w:tcMar>
          </w:tcPr>
          <w:p>
            <w:r>
              <w:rPr>
                <w:rFonts w:ascii="Arial" w:cs="Arial" w:eastAsia="Arial" w:hAnsi="Arial"/>
                <w:b/>
                <w:bCs/>
                <w:color w:val="B85042"/>
                <w:sz w:val="19"/>
                <w:szCs w:val="19"/>
              </w:rPr>
              <w:t xml:space="preserve">Rol de la docente</w:t>
            </w:r>
          </w:p>
        </w:tc>
        <w:tc>
          <w:tcPr>
            <w:tcW w:type="dxa" w:w="7000"/>
            <w:tcBorders>
              <w:top w:val="single" w:color="D0C4BC" w:sz="1"/>
              <w:left w:val="single" w:color="D0C4BC" w:sz="1"/>
              <w:bottom w:val="single" w:color="D0C4BC" w:sz="1"/>
              <w:right w:val="single" w:color="D0C4BC" w:sz="1"/>
            </w:tcBorders>
            <w:shd w:fill="FFFFFF" w:val="clear"/>
            <w:tcMar>
              <w:top w:type="dxa" w:w="80"/>
              <w:left w:type="dxa" w:w="120"/>
              <w:bottom w:type="dxa" w:w="80"/>
              <w:right w:type="dxa" w:w="80"/>
            </w:tcMa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100"/>
      </w:pPr>
    </w:p>
    <w:p>
      <w:pPr>
        <w:spacing w:after="40" w:before="60"/>
      </w:pPr>
      <w:r>
        <w:rPr>
          <w:rFonts w:ascii="Arial" w:cs="Arial" w:eastAsia="Arial" w:hAnsi="Arial"/>
          <w:b/>
          <w:bCs/>
          <w:color w:val="B85042"/>
          <w:sz w:val="20"/>
          <w:szCs w:val="20"/>
        </w:rPr>
        <w:t xml:space="preserve">Situación B — Sala de 5 años</w:t>
      </w:r>
    </w:p>
    <w:p>
      <w:pPr>
        <w:spacing w:after="60" w:before="60"/>
      </w:pPr>
      <w:r>
        <w:rPr>
          <w:rFonts w:ascii="Arial" w:cs="Arial" w:eastAsia="Arial" w:hAnsi="Arial"/>
          <w:color w:val="2C2C2C"/>
          <w:sz w:val="20"/>
          <w:szCs w:val="20"/>
        </w:rPr>
        <w:t xml:space="preserve">Antes de iniciar una unidad sobre dinosaurios, la docente pregunta al grupo: '¿Qué saben de los dinosaurios? ¿Dónde los vieron? ¿Cómo se imaginan que eran?' Escucha y anota todo en un afiche sin corregir ni evaluar. Luego propone que los chicos exploren libros de imágenes, figuras y videos cortos de manera libre. Al final de la exploración, vuelven al afiche: '¿Qué cambiaríamos? ¿Qué aprendimos?'</w:t>
      </w:r>
    </w:p>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D0C4BC" w:sz="1"/>
              <w:left w:val="single" w:color="D0C4BC" w:sz="1"/>
              <w:bottom w:val="single" w:color="D0C4BC" w:sz="1"/>
              <w:right w:val="single" w:color="D0C4BC" w:sz="1"/>
            </w:tcBorders>
            <w:shd w:fill="EDD5C5" w:val="clear"/>
            <w:tcMar>
              <w:top w:type="dxa" w:w="80"/>
              <w:left w:type="dxa" w:w="120"/>
              <w:bottom w:type="dxa" w:w="80"/>
              <w:right w:type="dxa" w:w="80"/>
            </w:tcMar>
          </w:tcPr>
          <w:p>
            <w:r>
              <w:rPr>
                <w:rFonts w:ascii="Arial" w:cs="Arial" w:eastAsia="Arial" w:hAnsi="Arial"/>
                <w:b/>
                <w:bCs/>
                <w:color w:val="B85042"/>
                <w:sz w:val="19"/>
                <w:szCs w:val="19"/>
              </w:rPr>
              <w:t xml:space="preserve">Teoría identificada</w:t>
            </w:r>
          </w:p>
        </w:tc>
        <w:tc>
          <w:tcPr>
            <w:tcW w:type="dxa" w:w="7000"/>
            <w:tcBorders>
              <w:top w:val="single" w:color="D0C4BC" w:sz="1"/>
              <w:left w:val="single" w:color="D0C4BC" w:sz="1"/>
              <w:bottom w:val="single" w:color="D0C4BC" w:sz="1"/>
              <w:right w:val="single" w:color="D0C4BC" w:sz="1"/>
            </w:tcBorders>
            <w:shd w:fill="FFFFFF" w:val="clear"/>
            <w:tcMar>
              <w:top w:type="dxa" w:w="80"/>
              <w:left w:type="dxa" w:w="120"/>
              <w:bottom w:type="dxa" w:w="80"/>
              <w:right w:type="dxa" w:w="80"/>
            </w:tcMa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D0C4BC" w:sz="1"/>
              <w:left w:val="single" w:color="D0C4BC" w:sz="1"/>
              <w:bottom w:val="single" w:color="D0C4BC" w:sz="1"/>
              <w:right w:val="single" w:color="D0C4BC" w:sz="1"/>
            </w:tcBorders>
            <w:shd w:fill="EDD5C5" w:val="clear"/>
            <w:tcMar>
              <w:top w:type="dxa" w:w="80"/>
              <w:left w:type="dxa" w:w="120"/>
              <w:bottom w:type="dxa" w:w="80"/>
              <w:right w:type="dxa" w:w="80"/>
            </w:tcMar>
          </w:tcPr>
          <w:p>
            <w:r>
              <w:rPr>
                <w:rFonts w:ascii="Arial" w:cs="Arial" w:eastAsia="Arial" w:hAnsi="Arial"/>
                <w:b/>
                <w:bCs/>
                <w:color w:val="B85042"/>
                <w:sz w:val="19"/>
                <w:szCs w:val="19"/>
              </w:rPr>
              <w:t xml:space="preserve">¿Qué cambiarías desde la otra teoría?</w:t>
            </w:r>
          </w:p>
        </w:tc>
        <w:tc>
          <w:tcPr>
            <w:tcW w:type="dxa" w:w="7000"/>
            <w:tcBorders>
              <w:top w:val="single" w:color="D0C4BC" w:sz="1"/>
              <w:left w:val="single" w:color="D0C4BC" w:sz="1"/>
              <w:bottom w:val="single" w:color="D0C4BC" w:sz="1"/>
              <w:right w:val="single" w:color="D0C4BC" w:sz="1"/>
            </w:tcBorders>
            <w:shd w:fill="FFFFFF" w:val="clear"/>
            <w:tcMar>
              <w:top w:type="dxa" w:w="80"/>
              <w:left w:type="dxa" w:w="120"/>
              <w:bottom w:type="dxa" w:w="80"/>
              <w:right w:type="dxa" w:w="80"/>
            </w:tcMa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D0C4BC" w:sz="1"/>
              <w:left w:val="single" w:color="D0C4BC" w:sz="1"/>
              <w:bottom w:val="single" w:color="D0C4BC" w:sz="1"/>
              <w:right w:val="single" w:color="D0C4BC" w:sz="1"/>
            </w:tcBorders>
            <w:shd w:fill="EDD5C5" w:val="clear"/>
            <w:tcMar>
              <w:top w:type="dxa" w:w="80"/>
              <w:left w:type="dxa" w:w="120"/>
              <w:bottom w:type="dxa" w:w="80"/>
              <w:right w:type="dxa" w:w="80"/>
            </w:tcMar>
          </w:tcPr>
          <w:p>
            <w:r>
              <w:rPr>
                <w:rFonts w:ascii="Arial" w:cs="Arial" w:eastAsia="Arial" w:hAnsi="Arial"/>
                <w:b/>
                <w:bCs/>
                <w:color w:val="B85042"/>
                <w:sz w:val="19"/>
                <w:szCs w:val="19"/>
              </w:rPr>
              <w:t xml:space="preserve">Rol de la docente</w:t>
            </w:r>
          </w:p>
        </w:tc>
        <w:tc>
          <w:tcPr>
            <w:tcW w:type="dxa" w:w="7000"/>
            <w:tcBorders>
              <w:top w:val="single" w:color="D0C4BC" w:sz="1"/>
              <w:left w:val="single" w:color="D0C4BC" w:sz="1"/>
              <w:bottom w:val="single" w:color="D0C4BC" w:sz="1"/>
              <w:right w:val="single" w:color="D0C4BC" w:sz="1"/>
            </w:tcBorders>
            <w:shd w:fill="FFFFFF" w:val="clear"/>
            <w:tcMar>
              <w:top w:type="dxa" w:w="80"/>
              <w:left w:type="dxa" w:w="120"/>
              <w:bottom w:type="dxa" w:w="80"/>
              <w:right w:type="dxa" w:w="80"/>
            </w:tcMa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100"/>
      </w:pPr>
    </w:p>
    <w:p>
      <w:pPr>
        <w:spacing w:after="40" w:before="60"/>
      </w:pPr>
      <w:r>
        <w:rPr>
          <w:rFonts w:ascii="Arial" w:cs="Arial" w:eastAsia="Arial" w:hAnsi="Arial"/>
          <w:b/>
          <w:bCs/>
          <w:color w:val="B85042"/>
          <w:sz w:val="20"/>
          <w:szCs w:val="20"/>
        </w:rPr>
        <w:t xml:space="preserve">Situación C — Sala de 3 años</w:t>
      </w:r>
    </w:p>
    <w:p>
      <w:pPr>
        <w:spacing w:after="60" w:before="60"/>
      </w:pPr>
      <w:r>
        <w:rPr>
          <w:rFonts w:ascii="Arial" w:cs="Arial" w:eastAsia="Arial" w:hAnsi="Arial"/>
          <w:color w:val="2C2C2C"/>
          <w:sz w:val="20"/>
          <w:szCs w:val="20"/>
        </w:rPr>
        <w:t xml:space="preserve">La docente va a trabajar los colores primarios. Antes de presentar nada, pone sobre la mesa bandejas con pintura roja, azul y amarilla, y hojas blancas. No da ninguna consigna más allá de 'podemos explorar'. Circula, observa y hace preguntas: '¿Qué pasó cuando mezclaste esos dos?' Cuando un niño descubre que el rojo y el azul dan violeta, la docente le pregunta al resto: '¿Todos lo vieron? ¿Alguien quiere probar?' No da el nombre 'violeta' todavía.</w:t>
      </w:r>
    </w:p>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D0C4BC" w:sz="1"/>
              <w:left w:val="single" w:color="D0C4BC" w:sz="1"/>
              <w:bottom w:val="single" w:color="D0C4BC" w:sz="1"/>
              <w:right w:val="single" w:color="D0C4BC" w:sz="1"/>
            </w:tcBorders>
            <w:shd w:fill="EDD5C5" w:val="clear"/>
            <w:tcMar>
              <w:top w:type="dxa" w:w="80"/>
              <w:left w:type="dxa" w:w="120"/>
              <w:bottom w:type="dxa" w:w="80"/>
              <w:right w:type="dxa" w:w="80"/>
            </w:tcMar>
          </w:tcPr>
          <w:p>
            <w:r>
              <w:rPr>
                <w:rFonts w:ascii="Arial" w:cs="Arial" w:eastAsia="Arial" w:hAnsi="Arial"/>
                <w:b/>
                <w:bCs/>
                <w:color w:val="B85042"/>
                <w:sz w:val="19"/>
                <w:szCs w:val="19"/>
              </w:rPr>
              <w:t xml:space="preserve">Teoría identificada</w:t>
            </w:r>
          </w:p>
        </w:tc>
        <w:tc>
          <w:tcPr>
            <w:tcW w:type="dxa" w:w="7000"/>
            <w:tcBorders>
              <w:top w:val="single" w:color="D0C4BC" w:sz="1"/>
              <w:left w:val="single" w:color="D0C4BC" w:sz="1"/>
              <w:bottom w:val="single" w:color="D0C4BC" w:sz="1"/>
              <w:right w:val="single" w:color="D0C4BC" w:sz="1"/>
            </w:tcBorders>
            <w:shd w:fill="FFFFFF" w:val="clear"/>
            <w:tcMar>
              <w:top w:type="dxa" w:w="80"/>
              <w:left w:type="dxa" w:w="120"/>
              <w:bottom w:type="dxa" w:w="80"/>
              <w:right w:type="dxa" w:w="80"/>
            </w:tcMa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D0C4BC" w:sz="1"/>
              <w:left w:val="single" w:color="D0C4BC" w:sz="1"/>
              <w:bottom w:val="single" w:color="D0C4BC" w:sz="1"/>
              <w:right w:val="single" w:color="D0C4BC" w:sz="1"/>
            </w:tcBorders>
            <w:shd w:fill="EDD5C5" w:val="clear"/>
            <w:tcMar>
              <w:top w:type="dxa" w:w="80"/>
              <w:left w:type="dxa" w:w="120"/>
              <w:bottom w:type="dxa" w:w="80"/>
              <w:right w:type="dxa" w:w="80"/>
            </w:tcMar>
          </w:tcPr>
          <w:p>
            <w:r>
              <w:rPr>
                <w:rFonts w:ascii="Arial" w:cs="Arial" w:eastAsia="Arial" w:hAnsi="Arial"/>
                <w:b/>
                <w:bCs/>
                <w:color w:val="B85042"/>
                <w:sz w:val="19"/>
                <w:szCs w:val="19"/>
              </w:rPr>
              <w:t xml:space="preserve">¿Qué cambiarías desde la otra teoría?</w:t>
            </w:r>
          </w:p>
        </w:tc>
        <w:tc>
          <w:tcPr>
            <w:tcW w:type="dxa" w:w="7000"/>
            <w:tcBorders>
              <w:top w:val="single" w:color="D0C4BC" w:sz="1"/>
              <w:left w:val="single" w:color="D0C4BC" w:sz="1"/>
              <w:bottom w:val="single" w:color="D0C4BC" w:sz="1"/>
              <w:right w:val="single" w:color="D0C4BC" w:sz="1"/>
            </w:tcBorders>
            <w:shd w:fill="FFFFFF" w:val="clear"/>
            <w:tcMar>
              <w:top w:type="dxa" w:w="80"/>
              <w:left w:type="dxa" w:w="120"/>
              <w:bottom w:type="dxa" w:w="80"/>
              <w:right w:type="dxa" w:w="80"/>
            </w:tcMa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4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D0C4BC" w:sz="1"/>
              <w:left w:val="single" w:color="D0C4BC" w:sz="1"/>
              <w:bottom w:val="single" w:color="D0C4BC" w:sz="1"/>
              <w:right w:val="single" w:color="D0C4BC" w:sz="1"/>
            </w:tcBorders>
            <w:shd w:fill="EDD5C5" w:val="clear"/>
            <w:tcMar>
              <w:top w:type="dxa" w:w="80"/>
              <w:left w:type="dxa" w:w="120"/>
              <w:bottom w:type="dxa" w:w="80"/>
              <w:right w:type="dxa" w:w="80"/>
            </w:tcMar>
          </w:tcPr>
          <w:p>
            <w:r>
              <w:rPr>
                <w:rFonts w:ascii="Arial" w:cs="Arial" w:eastAsia="Arial" w:hAnsi="Arial"/>
                <w:b/>
                <w:bCs/>
                <w:color w:val="B85042"/>
                <w:sz w:val="19"/>
                <w:szCs w:val="19"/>
              </w:rPr>
              <w:t xml:space="preserve">Rol de la docente</w:t>
            </w:r>
          </w:p>
        </w:tc>
        <w:tc>
          <w:tcPr>
            <w:tcW w:type="dxa" w:w="7000"/>
            <w:tcBorders>
              <w:top w:val="single" w:color="D0C4BC" w:sz="1"/>
              <w:left w:val="single" w:color="D0C4BC" w:sz="1"/>
              <w:bottom w:val="single" w:color="D0C4BC" w:sz="1"/>
              <w:right w:val="single" w:color="D0C4BC" w:sz="1"/>
            </w:tcBorders>
            <w:shd w:fill="FFFFFF" w:val="clear"/>
            <w:tcMar>
              <w:top w:type="dxa" w:w="80"/>
              <w:left w:type="dxa" w:w="120"/>
              <w:bottom w:type="dxa" w:w="80"/>
              <w:right w:type="dxa" w:w="80"/>
            </w:tcMar>
          </w:tcPr>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100"/>
      </w:pPr>
    </w:p>
    <w:p>
      <w:pPr>
        <w:pBdr>
          <w:bottom w:val="single" w:color="B85042" w:sz="4" w:space="1"/>
        </w:pBdr>
        <w:spacing w:after="160" w:before="160"/>
      </w:pPr>
      <w:r>
        <w:t xml:space="preserve"/>
      </w:r>
    </w:p>
    <w:p>
      <w:pPr>
        <w:spacing w:after="100" w:before="260"/>
      </w:pPr>
      <w:r>
        <w:rPr>
          <w:rFonts w:ascii="Arial" w:cs="Arial" w:eastAsia="Arial" w:hAnsi="Arial"/>
          <w:b/>
          <w:bCs/>
          <w:color w:val="B85042"/>
          <w:sz w:val="26"/>
          <w:szCs w:val="26"/>
        </w:rPr>
        <w:t xml:space="preserve">Referencias bibliográficas</w:t>
      </w:r>
    </w:p>
    <w:p>
      <w:pPr>
        <w:spacing w:after="60" w:before="60"/>
      </w:pPr>
      <w:r>
        <w:rPr>
          <w:rFonts w:ascii="Arial" w:cs="Arial" w:eastAsia="Arial" w:hAnsi="Arial"/>
          <w:color w:val="2C2C2C"/>
          <w:sz w:val="20"/>
          <w:szCs w:val="20"/>
        </w:rPr>
        <w:t xml:space="preserve">Ausubel, D. (1968). Educational psychology: A cognitive view. New York: Holt, Rinehart and Winston.</w:t>
      </w:r>
    </w:p>
    <w:p>
      <w:pPr>
        <w:spacing w:after="60" w:before="60"/>
      </w:pPr>
      <w:r>
        <w:rPr>
          <w:rFonts w:ascii="Arial" w:cs="Arial" w:eastAsia="Arial" w:hAnsi="Arial"/>
          <w:color w:val="2C2C2C"/>
          <w:sz w:val="20"/>
          <w:szCs w:val="20"/>
        </w:rPr>
        <w:t xml:space="preserve">Ausubel, D. (1983). Psicología educativa: Un punto de vista cognoscitivo. México: Trillas.</w:t>
      </w:r>
    </w:p>
    <w:p>
      <w:pPr>
        <w:spacing w:after="60" w:before="60"/>
      </w:pPr>
      <w:r>
        <w:rPr>
          <w:rFonts w:ascii="Arial" w:cs="Arial" w:eastAsia="Arial" w:hAnsi="Arial"/>
          <w:color w:val="2C2C2C"/>
          <w:sz w:val="20"/>
          <w:szCs w:val="20"/>
        </w:rPr>
        <w:t xml:space="preserve">Bruner, J. (1960). The process of education. Cambridge: Harvard University Press.</w:t>
      </w:r>
    </w:p>
    <w:p>
      <w:pPr>
        <w:spacing w:after="60" w:before="60"/>
      </w:pPr>
      <w:r>
        <w:rPr>
          <w:rFonts w:ascii="Arial" w:cs="Arial" w:eastAsia="Arial" w:hAnsi="Arial"/>
          <w:color w:val="2C2C2C"/>
          <w:sz w:val="20"/>
          <w:szCs w:val="20"/>
        </w:rPr>
        <w:t xml:space="preserve">Bruner, J. (1966). Toward a theory of instruction. Cambridge: Harvard University Press.</w:t>
      </w:r>
    </w:p>
    <w:p>
      <w:pPr>
        <w:spacing w:after="60" w:before="60"/>
      </w:pPr>
      <w:r>
        <w:rPr>
          <w:rFonts w:ascii="Arial" w:cs="Arial" w:eastAsia="Arial" w:hAnsi="Arial"/>
          <w:color w:val="2C2C2C"/>
          <w:sz w:val="20"/>
          <w:szCs w:val="20"/>
        </w:rPr>
        <w:t xml:space="preserve">Pozo, J. I. (1989). Teorías cognitivas del aprendizaje. Madrid: Morata.</w:t>
      </w:r>
    </w:p>
    <w:p>
      <w:pPr>
        <w:spacing w:before="120"/>
      </w:pPr>
    </w:p>
    <w:p>
      <w:pPr>
        <w:pBdr>
          <w:top w:val="single" w:color="B85042" w:sz="2" w:space="1"/>
        </w:pBdr>
        <w:spacing w:before="80"/>
      </w:pPr>
      <w:r>
        <w:rPr>
          <w:rFonts w:ascii="Arial" w:cs="Arial" w:eastAsia="Arial" w:hAnsi="Arial"/>
          <w:i/>
          <w:iCs/>
          <w:color w:val="666666"/>
          <w:sz w:val="16"/>
          <w:szCs w:val="16"/>
        </w:rPr>
        <w:t xml:space="preserve">Psicología Educacional · Profesorado de Educación Inicial · Material de lectura · Clase 7</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2026-05-01T23:41:01.854Z</dcterms:created>
  <dcterms:modified xsi:type="dcterms:W3CDTF">2026-05-01T23:41:01.876Z</dcterms:modified>
</cp:coreProperties>
</file>

<file path=docProps/custom.xml><?xml version="1.0" encoding="utf-8"?>
<Properties xmlns="http://schemas.openxmlformats.org/officeDocument/2006/custom-properties" xmlns:vt="http://schemas.openxmlformats.org/officeDocument/2006/docPropsVTypes"/>
</file>