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666666"/>
          <w:sz w:val="18"/>
          <w:szCs w:val="18"/>
        </w:rPr>
        <w:t xml:space="preserve">PROFESORADO DE EDUCACIÓN INICIAL · 2° AÑO</w:t>
      </w:r>
    </w:p>
    <w:p>
      <w:pPr>
        <w:spacing w:after="40" w:before="0"/>
      </w:pPr>
      <w:r>
        <w:rPr>
          <w:rFonts w:ascii="Arial" w:cs="Arial" w:eastAsia="Arial" w:hAnsi="Arial"/>
          <w:b/>
          <w:bCs/>
          <w:color w:val="B85042"/>
          <w:sz w:val="30"/>
          <w:szCs w:val="30"/>
        </w:rPr>
        <w:t xml:space="preserve">Psicología Educacional</w:t>
      </w:r>
    </w:p>
    <w:p>
      <w:pPr>
        <w:spacing w:after="200" w:before="0"/>
      </w:pPr>
      <w:r>
        <w:rPr>
          <w:rFonts w:ascii="Arial" w:cs="Arial" w:eastAsia="Arial" w:hAnsi="Arial"/>
          <w:color w:val="2C2C2C"/>
          <w:sz w:val="22"/>
          <w:szCs w:val="22"/>
        </w:rPr>
        <w:t xml:space="preserve">Material de lectura · Clase 8</w:t>
      </w:r>
    </w:p>
    <w:p>
      <w:pPr>
        <w:spacing w:after="60" w:before="60"/>
      </w:pPr>
      <w:r>
        <w:rPr>
          <w:rFonts w:ascii="Arial" w:cs="Arial" w:eastAsia="Arial" w:hAnsi="Arial"/>
          <w:color w:val="2C2C2C"/>
          <w:sz w:val="20"/>
          <w:szCs w:val="20"/>
        </w:rPr>
        <w:t xml:space="preserve">Este material acompaña la Clase 8, última de la Unidad II. Presenta la teoría de las inteligencias múltiples de Howard Gardner como cierre del recorrido por las grandes teorías del aprendizaje, e incluye una tabla integradora de toda la Unidad II para orientar la preparación del primer parcial.</w:t>
      </w:r>
    </w:p>
    <w:p>
      <w:pPr>
        <w:spacing w:after="60" w:before="60"/>
      </w:pPr>
      <w:r>
        <w:rPr>
          <w:rFonts w:ascii="Arial" w:cs="Arial" w:eastAsia="Arial" w:hAnsi="Arial"/>
          <w:i/>
          <w:iCs/>
          <w:color w:val="666666"/>
          <w:sz w:val="20"/>
          <w:szCs w:val="20"/>
        </w:rPr>
        <w:t xml:space="preserve">Referencias: Gardner (1983, 1993) · Armstrong (2006) · Baquero y Limón (2001)</w:t>
      </w:r>
    </w:p>
    <w:p>
      <w:pPr>
        <w:pBdr>
          <w:bottom w:val="single" w:color="B85042" w:sz="4" w:space="1"/>
        </w:pBdr>
        <w:spacing w:after="160" w:before="160"/>
      </w:pPr>
      <w:r>
        <w:t xml:space="preserve"/>
      </w:r>
    </w:p>
    <w:p>
      <w:pPr>
        <w:spacing w:after="40" w:before="60"/>
      </w:pPr>
      <w:r>
        <w:rPr>
          <w:rFonts w:ascii="Arial" w:cs="Arial" w:eastAsia="Arial" w:hAnsi="Arial"/>
          <w:b/>
          <w:bCs/>
          <w:color w:val="B85042"/>
          <w:sz w:val="22"/>
          <w:szCs w:val="22"/>
        </w:rPr>
        <w:t xml:space="preserve">CLASE 8</w:t>
      </w:r>
    </w:p>
    <w:p>
      <w:pPr>
        <w:spacing w:after="40" w:before="0"/>
      </w:pPr>
      <w:r>
        <w:rPr>
          <w:rFonts w:ascii="Arial" w:cs="Arial" w:eastAsia="Arial" w:hAnsi="Arial"/>
          <w:b/>
          <w:bCs/>
          <w:color w:val="2C2C2C"/>
          <w:sz w:val="30"/>
          <w:szCs w:val="30"/>
        </w:rPr>
        <w:t xml:space="preserve">Inteligencias múltiples y cierre de la Unidad II</w:t>
      </w:r>
    </w:p>
    <w:p>
      <w:pPr>
        <w:spacing w:after="160" w:before="0"/>
      </w:pPr>
      <w:r>
        <w:rPr>
          <w:rFonts w:ascii="Arial" w:cs="Arial" w:eastAsia="Arial" w:hAnsi="Arial"/>
          <w:i/>
          <w:iCs/>
          <w:color w:val="666666"/>
          <w:sz w:val="21"/>
          <w:szCs w:val="21"/>
        </w:rPr>
        <w:t xml:space="preserve">¿Todos aprendemos igual? Gardner y la revisión del concepto de inteligencia</w:t>
      </w:r>
    </w:p>
    <w:p>
      <w:pPr>
        <w:spacing w:after="100" w:before="260"/>
      </w:pPr>
      <w:r>
        <w:rPr>
          <w:rFonts w:ascii="Arial" w:cs="Arial" w:eastAsia="Arial" w:hAnsi="Arial"/>
          <w:b/>
          <w:bCs/>
          <w:color w:val="B85042"/>
          <w:sz w:val="26"/>
          <w:szCs w:val="26"/>
        </w:rPr>
        <w:t xml:space="preserve">1. El punto de partida: ¿qué es la inteligencia?</w:t>
      </w:r>
    </w:p>
    <w:p>
      <w:pPr>
        <w:spacing w:after="60" w:before="60"/>
      </w:pPr>
      <w:r>
        <w:rPr>
          <w:rFonts w:ascii="Arial" w:cs="Arial" w:eastAsia="Arial" w:hAnsi="Arial"/>
          <w:color w:val="2C2C2C"/>
          <w:sz w:val="20"/>
          <w:szCs w:val="20"/>
        </w:rPr>
        <w:t xml:space="preserve">Durante décadas, la psicología y la educación funcionaron con una idea implícita: la inteligencia es una sola, se puede medir con tests, y hay personas más inteligentes que otras. Esa idea tuvo —y sigue teniendo— consecuencias enormes: niños clasificados como 'poco inteligentes' que dejaron de recibir los desafíos que necesitaban; aulas donde solo se valoraban las habilidades lingüísticas y lógicas; evaluaciones que medían un único tipo de rendimiento y lo llamaban 'capacidad'.</w:t>
      </w:r>
    </w:p>
    <w:p>
      <w:pPr>
        <w:spacing w:after="60" w:before="60"/>
      </w:pPr>
      <w:r>
        <w:rPr>
          <w:rFonts w:ascii="Arial" w:cs="Arial" w:eastAsia="Arial" w:hAnsi="Arial"/>
          <w:color w:val="2C2C2C"/>
          <w:sz w:val="20"/>
          <w:szCs w:val="20"/>
        </w:rPr>
        <w:t xml:space="preserve">Howard Gardner cuestionó esa idea desde la psicología cognitiva y la neurociencia. Su propuesta no es simplemente que 'hay muchos tipos de inteligencia': es que la inteligencia como capacidad unitaria no existe, y que lo que llamamos así son en realidad múltiples capacidades relativamente independientes, cada una con su propio sistema neurológico, su propio desarrollo y su propia expresión cultural.</w:t>
      </w: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2. Howard Gardner: la teoría de las inteligencias múltiples</w:t>
      </w:r>
    </w:p>
    <w:p>
      <w:pPr>
        <w:spacing w:after="60" w:before="60"/>
      </w:pPr>
      <w:r>
        <w:rPr>
          <w:rFonts w:ascii="Arial" w:cs="Arial" w:eastAsia="Arial" w:hAnsi="Arial"/>
          <w:color w:val="2C2C2C"/>
          <w:sz w:val="20"/>
          <w:szCs w:val="20"/>
        </w:rPr>
        <w:t xml:space="preserve">Howard Gardner (1943, Scranton, EE.UU.) es un psicólogo y educador de la Universidad de Harvard, conocido principalmente por su libro Frames of Mind (1983), traducido al español como Estructuras de la mente. Su trabajo surgió en parte de observaciones clínicas: personas con lesiones cerebrales que perdían capacidades muy específicas (el habla pero no la música; la memoria para personas pero no para lugares), lo que sugería que distintas funciones cognitivas tienen bases neurológicas diferenciadas.</w:t>
      </w:r>
    </w:p>
    <w:p>
      <w:pPr>
        <w:spacing w:after="80" w:before="180"/>
      </w:pPr>
      <w:r>
        <w:rPr>
          <w:rFonts w:ascii="Arial" w:cs="Arial" w:eastAsia="Arial" w:hAnsi="Arial"/>
          <w:b/>
          <w:bCs/>
          <w:color w:val="2C2C2C"/>
          <w:sz w:val="22"/>
          <w:szCs w:val="22"/>
        </w:rPr>
        <w:t xml:space="preserve">2.1 Los criterios para definir una inteligencia</w:t>
      </w:r>
    </w:p>
    <w:p>
      <w:pPr>
        <w:spacing w:after="60" w:before="60"/>
      </w:pPr>
      <w:r>
        <w:rPr>
          <w:rFonts w:ascii="Arial" w:cs="Arial" w:eastAsia="Arial" w:hAnsi="Arial"/>
          <w:color w:val="2C2C2C"/>
          <w:sz w:val="20"/>
          <w:szCs w:val="20"/>
        </w:rPr>
        <w:t xml:space="preserve">Gardner no propone un listado arbitrario. Para que una capacidad sea considerada una 'inteligencia', debe cumplir una serie de criterios, entre ellos:</w:t>
      </w:r>
    </w:p>
    <w:p>
      <w:pPr>
        <w:pStyle w:val="ListParagraph"/>
        <w:numPr>
          <w:ilvl w:val="0"/>
          <w:numId w:val="2"/>
        </w:numPr>
        <w:spacing w:after="40" w:before="40"/>
      </w:pPr>
      <w:r>
        <w:rPr>
          <w:rFonts w:ascii="Arial" w:cs="Arial" w:eastAsia="Arial" w:hAnsi="Arial"/>
          <w:color w:val="2C2C2C"/>
          <w:sz w:val="20"/>
          <w:szCs w:val="20"/>
        </w:rPr>
        <w:t xml:space="preserve">Tener una localización neurológica relativamente independiente (puede ser dañada o preservada de manera selectiva).</w:t>
      </w:r>
    </w:p>
    <w:p>
      <w:pPr>
        <w:pStyle w:val="ListParagraph"/>
        <w:numPr>
          <w:ilvl w:val="0"/>
          <w:numId w:val="2"/>
        </w:numPr>
        <w:spacing w:after="40" w:before="40"/>
      </w:pPr>
      <w:r>
        <w:rPr>
          <w:rFonts w:ascii="Arial" w:cs="Arial" w:eastAsia="Arial" w:hAnsi="Arial"/>
          <w:color w:val="2C2C2C"/>
          <w:sz w:val="20"/>
          <w:szCs w:val="20"/>
        </w:rPr>
        <w:t xml:space="preserve">Existir en personas con talentos extraordinarios o con déficits específicos (savants, prodigios, personas con lesiones focales).</w:t>
      </w:r>
    </w:p>
    <w:p>
      <w:pPr>
        <w:pStyle w:val="ListParagraph"/>
        <w:numPr>
          <w:ilvl w:val="0"/>
          <w:numId w:val="2"/>
        </w:numPr>
        <w:spacing w:after="40" w:before="40"/>
      </w:pPr>
      <w:r>
        <w:rPr>
          <w:rFonts w:ascii="Arial" w:cs="Arial" w:eastAsia="Arial" w:hAnsi="Arial"/>
          <w:color w:val="2C2C2C"/>
          <w:sz w:val="20"/>
          <w:szCs w:val="20"/>
        </w:rPr>
        <w:t xml:space="preserve">Tener una historia evolutiva y una plausibilidad evolutiva.</w:t>
      </w:r>
    </w:p>
    <w:p>
      <w:pPr>
        <w:pStyle w:val="ListParagraph"/>
        <w:numPr>
          <w:ilvl w:val="0"/>
          <w:numId w:val="2"/>
        </w:numPr>
        <w:spacing w:after="40" w:before="40"/>
      </w:pPr>
      <w:r>
        <w:rPr>
          <w:rFonts w:ascii="Arial" w:cs="Arial" w:eastAsia="Arial" w:hAnsi="Arial"/>
          <w:color w:val="2C2C2C"/>
          <w:sz w:val="20"/>
          <w:szCs w:val="20"/>
        </w:rPr>
        <w:t xml:space="preserve">Ser susceptible de ser codificada en un sistema simbólico (lenguaje, música, matemática, etc.).</w:t>
      </w:r>
    </w:p>
    <w:p>
      <w:pPr>
        <w:spacing w:after="60" w:before="60"/>
      </w:pPr>
      <w:r>
        <w:rPr>
          <w:rFonts w:ascii="Arial" w:cs="Arial" w:eastAsia="Arial" w:hAnsi="Arial"/>
          <w:color w:val="2C2C2C"/>
          <w:sz w:val="20"/>
          <w:szCs w:val="20"/>
        </w:rPr>
        <w:t xml:space="preserve">Este marco empírico es importante: Gardner no afirma que 'todos somos buenos en algo' como consigna motivacional. Hace una afirmación teórica sobre la arquitectura de la mente.</w:t>
      </w:r>
    </w:p>
    <w:p>
      <w:pPr>
        <w:spacing w:after="80" w:before="180"/>
      </w:pPr>
      <w:r>
        <w:rPr>
          <w:rFonts w:ascii="Arial" w:cs="Arial" w:eastAsia="Arial" w:hAnsi="Arial"/>
          <w:b/>
          <w:bCs/>
          <w:color w:val="2C2C2C"/>
          <w:sz w:val="22"/>
          <w:szCs w:val="22"/>
        </w:rPr>
        <w:t xml:space="preserve">2.2 Las ocho inteligencias</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c>
          <w:tcPr>
            <w:tcW w:type="dxa" w:w="2800"/>
            <w:tcBorders>
              <w:top w:val="single" w:color="D0C4BC" w:sz="1"/>
              <w:left w:val="single" w:color="D0C4BC" w:sz="1"/>
              <w:bottom w:val="single" w:color="D0C4BC" w:sz="1"/>
              <w:right w:val="single" w:color="D0C4BC" w:sz="1"/>
            </w:tcBorders>
            <w:shd w:fill="B85042" w:val="clear"/>
            <w:tcMar>
              <w:top w:type="dxa" w:w="80"/>
              <w:left w:type="dxa" w:w="130"/>
              <w:bottom w:type="dxa" w:w="80"/>
              <w:right w:type="dxa" w:w="80"/>
            </w:tcMar>
          </w:tcPr>
          <w:p>
            <w:r>
              <w:rPr>
                <w:rFonts w:ascii="Arial" w:cs="Arial" w:eastAsia="Arial" w:hAnsi="Arial"/>
                <w:b/>
                <w:bCs/>
                <w:color w:val="FFFFFF"/>
                <w:sz w:val="20"/>
                <w:szCs w:val="20"/>
              </w:rPr>
              <w:t xml:space="preserve">Inteligencia</w:t>
            </w:r>
          </w:p>
        </w:tc>
        <w:tc>
          <w:tcPr>
            <w:tcW w:type="dxa" w:w="3000"/>
            <w:tcBorders>
              <w:top w:val="single" w:color="D0C4BC" w:sz="1"/>
              <w:left w:val="single" w:color="D0C4BC" w:sz="1"/>
              <w:bottom w:val="single" w:color="D0C4BC" w:sz="1"/>
              <w:right w:val="single" w:color="D0C4BC" w:sz="1"/>
            </w:tcBorders>
            <w:shd w:fill="C8793A" w:val="clear"/>
            <w:tcMar>
              <w:top w:type="dxa" w:w="80"/>
              <w:left w:type="dxa" w:w="130"/>
              <w:bottom w:type="dxa" w:w="80"/>
              <w:right w:type="dxa" w:w="80"/>
            </w:tcMar>
          </w:tcPr>
          <w:p>
            <w:r>
              <w:rPr>
                <w:rFonts w:ascii="Arial" w:cs="Arial" w:eastAsia="Arial" w:hAnsi="Arial"/>
                <w:b/>
                <w:bCs/>
                <w:color w:val="FFFFFF"/>
                <w:sz w:val="20"/>
                <w:szCs w:val="20"/>
              </w:rPr>
              <w:t xml:space="preserve">Descripción</w:t>
            </w:r>
          </w:p>
        </w:tc>
        <w:tc>
          <w:tcPr>
            <w:tcW w:type="dxa" w:w="3400"/>
            <w:tcBorders>
              <w:top w:val="single" w:color="D0C4BC" w:sz="1"/>
              <w:left w:val="single" w:color="D0C4BC" w:sz="1"/>
              <w:bottom w:val="single" w:color="D0C4BC" w:sz="1"/>
              <w:right w:val="single" w:color="D0C4BC" w:sz="1"/>
            </w:tcBorders>
            <w:shd w:fill="8BAF95" w:val="clear"/>
            <w:tcMar>
              <w:top w:type="dxa" w:w="80"/>
              <w:left w:type="dxa" w:w="130"/>
              <w:bottom w:type="dxa" w:w="80"/>
              <w:right w:type="dxa" w:w="80"/>
            </w:tcMar>
          </w:tcPr>
          <w:p>
            <w:r>
              <w:rPr>
                <w:rFonts w:ascii="Arial" w:cs="Arial" w:eastAsia="Arial" w:hAnsi="Arial"/>
                <w:b/>
                <w:bCs/>
                <w:color w:val="FFFFFF"/>
                <w:sz w:val="20"/>
                <w:szCs w:val="20"/>
              </w:rPr>
              <w:t xml:space="preserve">Expresión en el nivel inicial</w:t>
            </w:r>
          </w:p>
        </w:tc>
      </w:tr>
      <w:tr>
        <w:tc>
          <w:tcPr>
            <w:tcW w:type="dxa" w:w="28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b/>
                <w:bCs/>
                <w:color w:val="B85042"/>
                <w:sz w:val="18"/>
                <w:szCs w:val="18"/>
              </w:rPr>
              <w:t xml:space="preserve">Lingüística</w:t>
            </w:r>
          </w:p>
        </w:tc>
        <w:tc>
          <w:tcPr>
            <w:tcW w:type="dxa" w:w="30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color w:val="2C2C2C"/>
                <w:sz w:val="18"/>
                <w:szCs w:val="18"/>
              </w:rPr>
              <w:t xml:space="preserve">Capacidad para usar el lenguaje con precisión y creatividad. Sensibilidad al ritmo, al significado, a la sintaxis.</w:t>
            </w:r>
          </w:p>
        </w:tc>
        <w:tc>
          <w:tcPr>
            <w:tcW w:type="dxa" w:w="34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i/>
                <w:iCs/>
                <w:color w:val="2C2C2C"/>
                <w:sz w:val="18"/>
                <w:szCs w:val="18"/>
              </w:rPr>
              <w:t xml:space="preserve">El niño que narra cuentos con detalle, que juega con las palabras, que recuerda canciones completas.</w:t>
            </w:r>
          </w:p>
        </w:tc>
      </w:tr>
      <w:tr>
        <w:tc>
          <w:tcPr>
            <w:tcW w:type="dxa" w:w="28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b/>
                <w:bCs/>
                <w:color w:val="B85042"/>
                <w:sz w:val="18"/>
                <w:szCs w:val="18"/>
              </w:rPr>
              <w:t xml:space="preserve">Lógico-matemática</w:t>
            </w:r>
          </w:p>
        </w:tc>
        <w:tc>
          <w:tcPr>
            <w:tcW w:type="dxa" w:w="30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color w:val="2C2C2C"/>
                <w:sz w:val="18"/>
                <w:szCs w:val="18"/>
              </w:rPr>
              <w:t xml:space="preserve">Capacidad para razonar de manera abstracta, detectar patrones, operar con números y secuencias lógicas.</w:t>
            </w:r>
          </w:p>
        </w:tc>
        <w:tc>
          <w:tcPr>
            <w:tcW w:type="dxa" w:w="34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i/>
                <w:iCs/>
                <w:color w:val="2C2C2C"/>
                <w:sz w:val="18"/>
                <w:szCs w:val="18"/>
              </w:rPr>
              <w:t xml:space="preserve">El niño que ordena objetos por tamaño, que anticipa qué viene después en una secuencia, que le fascina contar.</w:t>
            </w:r>
          </w:p>
        </w:tc>
      </w:tr>
      <w:tr>
        <w:tc>
          <w:tcPr>
            <w:tcW w:type="dxa" w:w="28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b/>
                <w:bCs/>
                <w:color w:val="B85042"/>
                <w:sz w:val="18"/>
                <w:szCs w:val="18"/>
              </w:rPr>
              <w:t xml:space="preserve">Espacial</w:t>
            </w:r>
          </w:p>
        </w:tc>
        <w:tc>
          <w:tcPr>
            <w:tcW w:type="dxa" w:w="30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color w:val="2C2C2C"/>
                <w:sz w:val="18"/>
                <w:szCs w:val="18"/>
              </w:rPr>
              <w:t xml:space="preserve">Capacidad para percibir, transformar y recrear el mundo visual. Orientación en el espacio, diseño, imagen.</w:t>
            </w:r>
          </w:p>
        </w:tc>
        <w:tc>
          <w:tcPr>
            <w:tcW w:type="dxa" w:w="34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i/>
                <w:iCs/>
                <w:color w:val="2C2C2C"/>
                <w:sz w:val="18"/>
                <w:szCs w:val="18"/>
              </w:rPr>
              <w:t xml:space="preserve">El niño que arma puzzles complejos, que dibuja con detalle, que recuerda con precisión dónde están los objetos.</w:t>
            </w:r>
          </w:p>
        </w:tc>
      </w:tr>
      <w:tr>
        <w:tc>
          <w:tcPr>
            <w:tcW w:type="dxa" w:w="28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b/>
                <w:bCs/>
                <w:color w:val="B85042"/>
                <w:sz w:val="18"/>
                <w:szCs w:val="18"/>
              </w:rPr>
              <w:t xml:space="preserve">Musical</w:t>
            </w:r>
          </w:p>
        </w:tc>
        <w:tc>
          <w:tcPr>
            <w:tcW w:type="dxa" w:w="30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color w:val="2C2C2C"/>
                <w:sz w:val="18"/>
                <w:szCs w:val="18"/>
              </w:rPr>
              <w:t xml:space="preserve">Capacidad para percibir, discriminar, transformar y expresar formas musicales. Ritmo, tono, timbre.</w:t>
            </w:r>
          </w:p>
        </w:tc>
        <w:tc>
          <w:tcPr>
            <w:tcW w:type="dxa" w:w="34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i/>
                <w:iCs/>
                <w:color w:val="2C2C2C"/>
                <w:sz w:val="18"/>
                <w:szCs w:val="18"/>
              </w:rPr>
              <w:t xml:space="preserve">El niño que imita ritmos con precisión, que se mueve naturalmente con la música, que distingue melodías.</w:t>
            </w:r>
          </w:p>
        </w:tc>
      </w:tr>
      <w:tr>
        <w:tc>
          <w:tcPr>
            <w:tcW w:type="dxa" w:w="28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b/>
                <w:bCs/>
                <w:color w:val="B85042"/>
                <w:sz w:val="18"/>
                <w:szCs w:val="18"/>
              </w:rPr>
              <w:t xml:space="preserve">Corporal-kinestésica</w:t>
            </w:r>
          </w:p>
        </w:tc>
        <w:tc>
          <w:tcPr>
            <w:tcW w:type="dxa" w:w="30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color w:val="2C2C2C"/>
                <w:sz w:val="18"/>
                <w:szCs w:val="18"/>
              </w:rPr>
              <w:t xml:space="preserve">Capacidad para usar el cuerpo de manera hábil y expresiva. Control motor fino y grueso.</w:t>
            </w:r>
          </w:p>
        </w:tc>
        <w:tc>
          <w:tcPr>
            <w:tcW w:type="dxa" w:w="34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i/>
                <w:iCs/>
                <w:color w:val="2C2C2C"/>
                <w:sz w:val="18"/>
                <w:szCs w:val="18"/>
              </w:rPr>
              <w:t xml:space="preserve">El niño que aprende haciendo y moviéndose, que tiene gran coordinación, que se expresa a través del movimiento.</w:t>
            </w:r>
          </w:p>
        </w:tc>
      </w:tr>
      <w:tr>
        <w:tc>
          <w:tcPr>
            <w:tcW w:type="dxa" w:w="28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b/>
                <w:bCs/>
                <w:color w:val="B85042"/>
                <w:sz w:val="18"/>
                <w:szCs w:val="18"/>
              </w:rPr>
              <w:t xml:space="preserve">Naturalista</w:t>
            </w:r>
          </w:p>
        </w:tc>
        <w:tc>
          <w:tcPr>
            <w:tcW w:type="dxa" w:w="30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color w:val="2C2C2C"/>
                <w:sz w:val="18"/>
                <w:szCs w:val="18"/>
              </w:rPr>
              <w:t xml:space="preserve">Capacidad para reconocer, clasificar e interactuar con el mundo natural: plantas, animales, fenómenos.</w:t>
            </w:r>
          </w:p>
        </w:tc>
        <w:tc>
          <w:tcPr>
            <w:tcW w:type="dxa" w:w="34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i/>
                <w:iCs/>
                <w:color w:val="2C2C2C"/>
                <w:sz w:val="18"/>
                <w:szCs w:val="18"/>
              </w:rPr>
              <w:t xml:space="preserve">El niño que nombra los bichos, que se fascina con las plantas, que observa con atención el cielo y el tiempo.</w:t>
            </w:r>
          </w:p>
        </w:tc>
      </w:tr>
      <w:tr>
        <w:tc>
          <w:tcPr>
            <w:tcW w:type="dxa" w:w="28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b/>
                <w:bCs/>
                <w:color w:val="B85042"/>
                <w:sz w:val="18"/>
                <w:szCs w:val="18"/>
              </w:rPr>
              <w:t xml:space="preserve">Interpersonal</w:t>
            </w:r>
          </w:p>
        </w:tc>
        <w:tc>
          <w:tcPr>
            <w:tcW w:type="dxa" w:w="30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color w:val="2C2C2C"/>
                <w:sz w:val="18"/>
                <w:szCs w:val="18"/>
              </w:rPr>
              <w:t xml:space="preserve">Capacidad para comprender a los demás: sus motivaciones, intenciones, estados emocionales.</w:t>
            </w:r>
          </w:p>
        </w:tc>
        <w:tc>
          <w:tcPr>
            <w:tcW w:type="dxa" w:w="3400"/>
            <w:tcBorders>
              <w:top w:val="single" w:color="D0C4BC" w:sz="1"/>
              <w:left w:val="single" w:color="D0C4BC" w:sz="1"/>
              <w:bottom w:val="single" w:color="D0C4BC" w:sz="1"/>
              <w:right w:val="single" w:color="D0C4BC" w:sz="1"/>
            </w:tcBorders>
            <w:shd w:fill="F5F4F0" w:val="clear"/>
            <w:tcMar>
              <w:top w:type="dxa" w:w="80"/>
              <w:left w:type="dxa" w:w="130"/>
              <w:bottom w:type="dxa" w:w="80"/>
              <w:right w:type="dxa" w:w="80"/>
            </w:tcMar>
          </w:tcPr>
          <w:p>
            <w:r>
              <w:rPr>
                <w:rFonts w:ascii="Arial" w:cs="Arial" w:eastAsia="Arial" w:hAnsi="Arial"/>
                <w:i/>
                <w:iCs/>
                <w:color w:val="2C2C2C"/>
                <w:sz w:val="18"/>
                <w:szCs w:val="18"/>
              </w:rPr>
              <w:t xml:space="preserve">El niño que percibe cuándo un compañero está triste, que organiza a los otros en el juego, que media en conflictos.</w:t>
            </w:r>
          </w:p>
        </w:tc>
      </w:tr>
      <w:tr>
        <w:tc>
          <w:tcPr>
            <w:tcW w:type="dxa" w:w="28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b/>
                <w:bCs/>
                <w:color w:val="B85042"/>
                <w:sz w:val="18"/>
                <w:szCs w:val="18"/>
              </w:rPr>
              <w:t xml:space="preserve">Intrapersonal</w:t>
            </w:r>
          </w:p>
        </w:tc>
        <w:tc>
          <w:tcPr>
            <w:tcW w:type="dxa" w:w="30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color w:val="2C2C2C"/>
                <w:sz w:val="18"/>
                <w:szCs w:val="18"/>
              </w:rPr>
              <w:t xml:space="preserve">Capacidad para conocerse a uno mismo: emociones, motivaciones, limitaciones y fortalezas propias.</w:t>
            </w:r>
          </w:p>
        </w:tc>
        <w:tc>
          <w:tcPr>
            <w:tcW w:type="dxa" w:w="3400"/>
            <w:tcBorders>
              <w:top w:val="single" w:color="D0C4BC" w:sz="1"/>
              <w:left w:val="single" w:color="D0C4BC" w:sz="1"/>
              <w:bottom w:val="single" w:color="D0C4BC" w:sz="1"/>
              <w:right w:val="single" w:color="D0C4BC" w:sz="1"/>
            </w:tcBorders>
            <w:shd w:fill="FFFFFF" w:val="clear"/>
            <w:tcMar>
              <w:top w:type="dxa" w:w="80"/>
              <w:left w:type="dxa" w:w="130"/>
              <w:bottom w:type="dxa" w:w="80"/>
              <w:right w:type="dxa" w:w="80"/>
            </w:tcMar>
          </w:tcPr>
          <w:p>
            <w:r>
              <w:rPr>
                <w:rFonts w:ascii="Arial" w:cs="Arial" w:eastAsia="Arial" w:hAnsi="Arial"/>
                <w:i/>
                <w:iCs/>
                <w:color w:val="2C2C2C"/>
                <w:sz w:val="18"/>
                <w:szCs w:val="18"/>
              </w:rPr>
              <w:t xml:space="preserve">El niño que puede decir 'esto me da miedo', que regula sus emociones, que tiene un sentido claro de sí mismo.</w:t>
            </w:r>
          </w:p>
        </w:tc>
      </w:tr>
    </w:tbl>
    <w:p>
      <w:pPr>
        <w:spacing w:after="0" w:before="100"/>
      </w:pPr>
    </w:p>
    <w:p>
      <w:pPr>
        <w:spacing w:after="80" w:before="180"/>
      </w:pPr>
      <w:r>
        <w:rPr>
          <w:rFonts w:ascii="Arial" w:cs="Arial" w:eastAsia="Arial" w:hAnsi="Arial"/>
          <w:b/>
          <w:bCs/>
          <w:color w:val="2C2C2C"/>
          <w:sz w:val="22"/>
          <w:szCs w:val="22"/>
        </w:rPr>
        <w:t xml:space="preserve">2.3 Lo que Gardner no dice</w:t>
      </w:r>
    </w:p>
    <w:p>
      <w:pPr>
        <w:spacing w:after="60" w:before="60"/>
      </w:pPr>
      <w:r>
        <w:rPr>
          <w:rFonts w:ascii="Arial" w:cs="Arial" w:eastAsia="Arial" w:hAnsi="Arial"/>
          <w:color w:val="2C2C2C"/>
          <w:sz w:val="20"/>
          <w:szCs w:val="20"/>
        </w:rPr>
        <w:t xml:space="preserve">La teoría de las inteligencias múltiples ha sido popularizada —y distorsionada— de muchas maneras. Conviene aclarar algunas cosas que Gardner no afirma:</w:t>
      </w:r>
    </w:p>
    <w:p>
      <w:pPr>
        <w:pStyle w:val="ListParagraph"/>
        <w:numPr>
          <w:ilvl w:val="0"/>
          <w:numId w:val="2"/>
        </w:numPr>
        <w:spacing w:after="40" w:before="40"/>
      </w:pPr>
      <w:r>
        <w:rPr>
          <w:rFonts w:ascii="Arial" w:cs="Arial" w:eastAsia="Arial" w:hAnsi="Arial"/>
          <w:color w:val="2C2C2C"/>
          <w:sz w:val="20"/>
          <w:szCs w:val="20"/>
        </w:rPr>
        <w:t xml:space="preserve">No dice que cada persona tiene 'su' inteligencia y solo esa. Todos tenemos las ocho inteligencias en distintos grados y combinaciones.</w:t>
      </w:r>
    </w:p>
    <w:p>
      <w:pPr>
        <w:pStyle w:val="ListParagraph"/>
        <w:numPr>
          <w:ilvl w:val="0"/>
          <w:numId w:val="2"/>
        </w:numPr>
        <w:spacing w:after="40" w:before="40"/>
      </w:pPr>
      <w:r>
        <w:rPr>
          <w:rFonts w:ascii="Arial" w:cs="Arial" w:eastAsia="Arial" w:hAnsi="Arial"/>
          <w:color w:val="2C2C2C"/>
          <w:sz w:val="20"/>
          <w:szCs w:val="20"/>
        </w:rPr>
        <w:t xml:space="preserve">No dice que las inteligencias sean fijas e innatas. Se desarrollan a través de la experiencia, la enseñanza y el contexto cultural.</w:t>
      </w:r>
    </w:p>
    <w:p>
      <w:pPr>
        <w:pStyle w:val="ListParagraph"/>
        <w:numPr>
          <w:ilvl w:val="0"/>
          <w:numId w:val="2"/>
        </w:numPr>
        <w:spacing w:after="40" w:before="40"/>
      </w:pPr>
      <w:r>
        <w:rPr>
          <w:rFonts w:ascii="Arial" w:cs="Arial" w:eastAsia="Arial" w:hAnsi="Arial"/>
          <w:color w:val="2C2C2C"/>
          <w:sz w:val="20"/>
          <w:szCs w:val="20"/>
        </w:rPr>
        <w:t xml:space="preserve">No propone que la docente clasifique a los niños en 'tipos' y les dé actividades solo de su inteligencia dominante. Propone que las propuestas sean variadas para que todos puedan acceder al conocimiento desde distintos caminos.</w:t>
      </w:r>
    </w:p>
    <w:p>
      <w:pPr>
        <w:pStyle w:val="ListParagraph"/>
        <w:numPr>
          <w:ilvl w:val="0"/>
          <w:numId w:val="2"/>
        </w:numPr>
        <w:spacing w:after="40" w:before="40"/>
      </w:pPr>
      <w:r>
        <w:rPr>
          <w:rFonts w:ascii="Arial" w:cs="Arial" w:eastAsia="Arial" w:hAnsi="Arial"/>
          <w:color w:val="2C2C2C"/>
          <w:sz w:val="20"/>
          <w:szCs w:val="20"/>
        </w:rPr>
        <w:t xml:space="preserve">No reemplaza a Piaget ni a Vygotski: describe la diversidad de perfiles cognitivos, no los mecanismos del aprendizaje.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0C4BC" w:sz="1"/>
              <w:left w:val="single" w:color="D0C4BC" w:sz="1"/>
              <w:bottom w:val="single" w:color="D0C4BC" w:sz="1"/>
              <w:right w:val="single" w:color="D0C4BC" w:sz="1"/>
            </w:tcBorders>
            <w:shd w:fill="C8793A" w:val="clear"/>
            <w:tcMar>
              <w:top w:type="dxa" w:w="80"/>
              <w:left w:type="dxa" w:w="160"/>
              <w:bottom w:type="dxa" w:w="80"/>
              <w:right w:type="dxa" w:w="160"/>
            </w:tcMar>
          </w:tcPr>
          <w:p>
            <w:r>
              <w:rPr>
                <w:rFonts w:ascii="Arial" w:cs="Arial" w:eastAsia="Arial" w:hAnsi="Arial"/>
                <w:b/>
                <w:bCs/>
                <w:color w:val="FFFFFF"/>
                <w:sz w:val="20"/>
                <w:szCs w:val="20"/>
              </w:rPr>
              <w:t xml:space="preserve">EN LA SALA DE NIVEL INICIAL</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color w:val="2C2C2C"/>
                <w:sz w:val="20"/>
                <w:szCs w:val="20"/>
              </w:rPr>
              <w:t xml:space="preserve">Una docente que trabaja con inteligencias múltiples no diseña ocho actividades distintas cada vez. Diseña propuestas que ofrecen múltiples puntos de entrada: una misma unidad sobre los animales puede incluir observación (naturalista), movimiento (corporal), canto (musical), dibujo (espacial), conversación (interpersonal) y clasificación (lógica). Así, todos los niños tienen chances de participar desde sus fortalezas, y al mismo tiempo se desarrollan las capacidades menos dominantes.</w:t>
            </w:r>
          </w:p>
        </w:tc>
      </w:tr>
    </w:tbl>
    <w:p>
      <w:pPr>
        <w:spacing w:after="0" w:before="100"/>
      </w:pP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3. Las inteligencias múltiples en diálogo con las teorías de la Unidad II</w:t>
      </w:r>
    </w:p>
    <w:p>
      <w:pPr>
        <w:spacing w:after="60" w:before="60"/>
      </w:pPr>
      <w:r>
        <w:rPr>
          <w:rFonts w:ascii="Arial" w:cs="Arial" w:eastAsia="Arial" w:hAnsi="Arial"/>
          <w:color w:val="2C2C2C"/>
          <w:sz w:val="20"/>
          <w:szCs w:val="20"/>
        </w:rPr>
        <w:t xml:space="preserve">La teoría de Gardner no es un modelo aislado: se conecta con los enfoques que vimos a lo largo de toda la unidad.</w:t>
      </w:r>
    </w:p>
    <w:p>
      <w:pPr>
        <w:pStyle w:val="ListParagraph"/>
        <w:numPr>
          <w:ilvl w:val="0"/>
          <w:numId w:val="2"/>
        </w:numPr>
        <w:spacing w:after="40" w:before="40"/>
      </w:pPr>
      <w:r>
        <w:rPr>
          <w:rFonts w:ascii="Arial" w:cs="Arial" w:eastAsia="Arial" w:hAnsi="Arial"/>
          <w:color w:val="2C2C2C"/>
          <w:sz w:val="20"/>
          <w:szCs w:val="20"/>
        </w:rPr>
        <w:t xml:space="preserve">Con Bruner: los modos de representación (enactivo, icónico, simbólico) pueden pensarse como vías de acceso privilegiadas para distintas inteligencias. La inteligencia corporal-kinestésica opera principalmente en el modo enactivo; la espacial, en el icónico.</w:t>
      </w:r>
    </w:p>
    <w:p>
      <w:pPr>
        <w:pStyle w:val="ListParagraph"/>
        <w:numPr>
          <w:ilvl w:val="0"/>
          <w:numId w:val="2"/>
        </w:numPr>
        <w:spacing w:after="40" w:before="40"/>
      </w:pPr>
      <w:r>
        <w:rPr>
          <w:rFonts w:ascii="Arial" w:cs="Arial" w:eastAsia="Arial" w:hAnsi="Arial"/>
          <w:color w:val="2C2C2C"/>
          <w:sz w:val="20"/>
          <w:szCs w:val="20"/>
        </w:rPr>
        <w:t xml:space="preserve">Con Vygotski: las inteligencias se desarrollan en interacción social y con mediadores culturales. No son capacidades que emergen en el vacío: dependen del contexto, los instrumentos y las personas disponibles.</w:t>
      </w:r>
    </w:p>
    <w:p>
      <w:pPr>
        <w:pStyle w:val="ListParagraph"/>
        <w:numPr>
          <w:ilvl w:val="0"/>
          <w:numId w:val="2"/>
        </w:numPr>
        <w:spacing w:after="40" w:before="40"/>
      </w:pPr>
      <w:r>
        <w:rPr>
          <w:rFonts w:ascii="Arial" w:cs="Arial" w:eastAsia="Arial" w:hAnsi="Arial"/>
          <w:color w:val="2C2C2C"/>
          <w:sz w:val="20"/>
          <w:szCs w:val="20"/>
        </w:rPr>
        <w:t xml:space="preserve">Con Piaget: el perfil de inteligencias no determina el estadio de desarrollo. Un niño en el período preoperatorio puede tener alta inteligencia musical y baja lógico-matemática, o viceversa.</w:t>
      </w:r>
    </w:p>
    <w:p>
      <w:pPr>
        <w:pStyle w:val="ListParagraph"/>
        <w:numPr>
          <w:ilvl w:val="0"/>
          <w:numId w:val="2"/>
        </w:numPr>
        <w:spacing w:after="40" w:before="40"/>
      </w:pPr>
      <w:r>
        <w:rPr>
          <w:rFonts w:ascii="Arial" w:cs="Arial" w:eastAsia="Arial" w:hAnsi="Arial"/>
          <w:color w:val="2C2C2C"/>
          <w:sz w:val="20"/>
          <w:szCs w:val="20"/>
        </w:rPr>
        <w:t xml:space="preserve">Con las neurociencias: la plasticidad neuronal implica que los perfiles de inteligencia son moldeables. Las 'ventanas de oportunidad' del nivel inicial son relevantes para todas las inteligencias, no solo para la lingüística y la lógica.</w:t>
      </w:r>
    </w:p>
    <w:p>
      <w:pPr>
        <w:pStyle w:val="ListParagraph"/>
        <w:numPr>
          <w:ilvl w:val="0"/>
          <w:numId w:val="2"/>
        </w:numPr>
        <w:spacing w:after="40" w:before="40"/>
      </w:pPr>
      <w:r>
        <w:rPr>
          <w:rFonts w:ascii="Arial" w:cs="Arial" w:eastAsia="Arial" w:hAnsi="Arial"/>
          <w:color w:val="2C2C2C"/>
          <w:sz w:val="20"/>
          <w:szCs w:val="20"/>
        </w:rPr>
        <w:t xml:space="preserve">Con Ausubel: el aprendizaje significativo requiere activar los conocimientos previos. Para un niño con alta inteligencia musical, anclar un contenido nuevo en experiencias musicales aumenta la probabilidad de que ese aprendizaje sea significativo.</w:t>
      </w: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4. Tabla integradora de la Unidad II</w:t>
      </w:r>
    </w:p>
    <w:p>
      <w:pPr>
        <w:spacing w:after="60" w:before="60"/>
      </w:pPr>
      <w:r>
        <w:rPr>
          <w:rFonts w:ascii="Arial" w:cs="Arial" w:eastAsia="Arial" w:hAnsi="Arial"/>
          <w:color w:val="2C2C2C"/>
          <w:sz w:val="20"/>
          <w:szCs w:val="20"/>
        </w:rPr>
        <w:t xml:space="preserve">Esta tabla resume los seis enfoques trabajados en las Clases 3 a 8. Completala durante el trabajo grupal de la clase y usala como organizador para el parcial.</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c>
          <w:tcPr>
            <w:tcW w:type="dxa" w:w="1600"/>
            <w:tcBorders>
              <w:top w:val="single" w:color="D0C4BC" w:sz="1"/>
              <w:left w:val="single" w:color="D0C4BC" w:sz="1"/>
              <w:bottom w:val="single" w:color="D0C4BC" w:sz="1"/>
              <w:right w:val="single" w:color="D0C4BC" w:sz="1"/>
            </w:tcBorders>
            <w:shd w:fill="B85042" w:val="clear"/>
            <w:tcMar>
              <w:top w:type="dxa" w:w="70"/>
              <w:left w:type="dxa" w:w="100"/>
              <w:bottom w:type="dxa" w:w="70"/>
              <w:right w:type="dxa" w:w="80"/>
            </w:tcMar>
          </w:tcPr>
          <w:p>
            <w:r>
              <w:rPr>
                <w:rFonts w:ascii="Arial" w:cs="Arial" w:eastAsia="Arial" w:hAnsi="Arial"/>
                <w:b/>
                <w:bCs/>
                <w:color w:val="FFFFFF"/>
                <w:sz w:val="17"/>
                <w:szCs w:val="17"/>
              </w:rPr>
              <w:t xml:space="preserve">Teoría</w:t>
            </w:r>
          </w:p>
        </w:tc>
        <w:tc>
          <w:tcPr>
            <w:tcW w:type="dxa" w:w="1900"/>
            <w:tcBorders>
              <w:top w:val="single" w:color="D0C4BC" w:sz="1"/>
              <w:left w:val="single" w:color="D0C4BC" w:sz="1"/>
              <w:bottom w:val="single" w:color="D0C4BC" w:sz="1"/>
              <w:right w:val="single" w:color="D0C4BC" w:sz="1"/>
            </w:tcBorders>
            <w:shd w:fill="C8793A" w:val="clear"/>
            <w:tcMar>
              <w:top w:type="dxa" w:w="70"/>
              <w:left w:type="dxa" w:w="100"/>
              <w:bottom w:type="dxa" w:w="70"/>
              <w:right w:type="dxa" w:w="80"/>
            </w:tcMar>
          </w:tcPr>
          <w:p>
            <w:r>
              <w:rPr>
                <w:rFonts w:ascii="Arial" w:cs="Arial" w:eastAsia="Arial" w:hAnsi="Arial"/>
                <w:b/>
                <w:bCs/>
                <w:color w:val="FFFFFF"/>
                <w:sz w:val="17"/>
                <w:szCs w:val="17"/>
              </w:rPr>
              <w:t xml:space="preserve">Motor del aprendizaje</w:t>
            </w:r>
          </w:p>
        </w:tc>
        <w:tc>
          <w:tcPr>
            <w:tcW w:type="dxa" w:w="1900"/>
            <w:tcBorders>
              <w:top w:val="single" w:color="D0C4BC" w:sz="1"/>
              <w:left w:val="single" w:color="D0C4BC" w:sz="1"/>
              <w:bottom w:val="single" w:color="D0C4BC" w:sz="1"/>
              <w:right w:val="single" w:color="D0C4BC" w:sz="1"/>
            </w:tcBorders>
            <w:shd w:fill="B85042" w:val="clear"/>
            <w:tcMar>
              <w:top w:type="dxa" w:w="70"/>
              <w:left w:type="dxa" w:w="100"/>
              <w:bottom w:type="dxa" w:w="70"/>
              <w:right w:type="dxa" w:w="80"/>
            </w:tcMar>
          </w:tcPr>
          <w:p>
            <w:r>
              <w:rPr>
                <w:rFonts w:ascii="Arial" w:cs="Arial" w:eastAsia="Arial" w:hAnsi="Arial"/>
                <w:b/>
                <w:bCs/>
                <w:color w:val="FFFFFF"/>
                <w:sz w:val="17"/>
                <w:szCs w:val="17"/>
              </w:rPr>
              <w:t xml:space="preserve">Rol del docente</w:t>
            </w:r>
          </w:p>
        </w:tc>
        <w:tc>
          <w:tcPr>
            <w:tcW w:type="dxa" w:w="1900"/>
            <w:tcBorders>
              <w:top w:val="single" w:color="D0C4BC" w:sz="1"/>
              <w:left w:val="single" w:color="D0C4BC" w:sz="1"/>
              <w:bottom w:val="single" w:color="D0C4BC" w:sz="1"/>
              <w:right w:val="single" w:color="D0C4BC" w:sz="1"/>
            </w:tcBorders>
            <w:shd w:fill="C8793A" w:val="clear"/>
            <w:tcMar>
              <w:top w:type="dxa" w:w="70"/>
              <w:left w:type="dxa" w:w="100"/>
              <w:bottom w:type="dxa" w:w="70"/>
              <w:right w:type="dxa" w:w="80"/>
            </w:tcMar>
          </w:tcPr>
          <w:p>
            <w:r>
              <w:rPr>
                <w:rFonts w:ascii="Arial" w:cs="Arial" w:eastAsia="Arial" w:hAnsi="Arial"/>
                <w:b/>
                <w:bCs/>
                <w:color w:val="FFFFFF"/>
                <w:sz w:val="17"/>
                <w:szCs w:val="17"/>
              </w:rPr>
              <w:t xml:space="preserve">Concepto clave</w:t>
            </w:r>
          </w:p>
        </w:tc>
        <w:tc>
          <w:tcPr>
            <w:tcW w:type="dxa" w:w="1900"/>
            <w:tcBorders>
              <w:top w:val="single" w:color="D0C4BC" w:sz="1"/>
              <w:left w:val="single" w:color="D0C4BC" w:sz="1"/>
              <w:bottom w:val="single" w:color="D0C4BC" w:sz="1"/>
              <w:right w:val="single" w:color="D0C4BC" w:sz="1"/>
            </w:tcBorders>
            <w:shd w:fill="B85042" w:val="clear"/>
            <w:tcMar>
              <w:top w:type="dxa" w:w="70"/>
              <w:left w:type="dxa" w:w="100"/>
              <w:bottom w:type="dxa" w:w="70"/>
              <w:right w:type="dxa" w:w="80"/>
            </w:tcMar>
          </w:tcPr>
          <w:p>
            <w:r>
              <w:rPr>
                <w:rFonts w:ascii="Arial" w:cs="Arial" w:eastAsia="Arial" w:hAnsi="Arial"/>
                <w:b/>
                <w:bCs/>
                <w:color w:val="FFFFFF"/>
                <w:sz w:val="17"/>
                <w:szCs w:val="17"/>
              </w:rPr>
              <w:t xml:space="preserve">Ejemplo en NI</w:t>
            </w:r>
          </w:p>
        </w:tc>
      </w:tr>
      <w:tr>
        <w:tc>
          <w:tcPr>
            <w:tcW w:type="dxa" w:w="16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r>
              <w:rPr>
                <w:rFonts w:ascii="Arial" w:cs="Arial" w:eastAsia="Arial" w:hAnsi="Arial"/>
                <w:b/>
                <w:bCs/>
                <w:color w:val="B85042"/>
                <w:sz w:val="17"/>
                <w:szCs w:val="17"/>
              </w:rPr>
              <w:t xml:space="preserve">Conductismo</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r>
      <w:tr>
        <w:tc>
          <w:tcPr>
            <w:tcW w:type="dxa" w:w="16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r>
              <w:rPr>
                <w:rFonts w:ascii="Arial" w:cs="Arial" w:eastAsia="Arial" w:hAnsi="Arial"/>
                <w:b/>
                <w:bCs/>
                <w:color w:val="B85042"/>
                <w:sz w:val="17"/>
                <w:szCs w:val="17"/>
              </w:rPr>
              <w:t xml:space="preserve">Cognitivismo / Ausubel</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r>
      <w:tr>
        <w:tc>
          <w:tcPr>
            <w:tcW w:type="dxa" w:w="16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r>
              <w:rPr>
                <w:rFonts w:ascii="Arial" w:cs="Arial" w:eastAsia="Arial" w:hAnsi="Arial"/>
                <w:b/>
                <w:bCs/>
                <w:color w:val="B85042"/>
                <w:sz w:val="17"/>
                <w:szCs w:val="17"/>
              </w:rPr>
              <w:t xml:space="preserve">Piaget</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r>
      <w:tr>
        <w:tc>
          <w:tcPr>
            <w:tcW w:type="dxa" w:w="16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r>
              <w:rPr>
                <w:rFonts w:ascii="Arial" w:cs="Arial" w:eastAsia="Arial" w:hAnsi="Arial"/>
                <w:b/>
                <w:bCs/>
                <w:color w:val="B85042"/>
                <w:sz w:val="17"/>
                <w:szCs w:val="17"/>
              </w:rPr>
              <w:t xml:space="preserve">Vygotski</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r>
      <w:tr>
        <w:tc>
          <w:tcPr>
            <w:tcW w:type="dxa" w:w="16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r>
              <w:rPr>
                <w:rFonts w:ascii="Arial" w:cs="Arial" w:eastAsia="Arial" w:hAnsi="Arial"/>
                <w:b/>
                <w:bCs/>
                <w:color w:val="B85042"/>
                <w:sz w:val="17"/>
                <w:szCs w:val="17"/>
              </w:rPr>
              <w:t xml:space="preserve">Bruner</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5F4F0"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r>
      <w:tr>
        <w:tc>
          <w:tcPr>
            <w:tcW w:type="dxa" w:w="16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r>
              <w:rPr>
                <w:rFonts w:ascii="Arial" w:cs="Arial" w:eastAsia="Arial" w:hAnsi="Arial"/>
                <w:b/>
                <w:bCs/>
                <w:color w:val="B85042"/>
                <w:sz w:val="17"/>
                <w:szCs w:val="17"/>
              </w:rPr>
              <w:t xml:space="preserve">Gardner / Neurociencias</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c>
          <w:tcPr>
            <w:tcW w:type="dxa" w:w="1900"/>
            <w:tcBorders>
              <w:top w:val="single" w:color="D0C4BC" w:sz="1"/>
              <w:left w:val="single" w:color="D0C4BC" w:sz="1"/>
              <w:bottom w:val="single" w:color="D0C4BC" w:sz="1"/>
              <w:right w:val="single" w:color="D0C4BC" w:sz="1"/>
            </w:tcBorders>
            <w:shd w:fill="FFFFFF" w:val="clear"/>
            <w:tcMar>
              <w:top w:type="dxa" w:w="100"/>
              <w:left w:type="dxa" w:w="100"/>
              <w:bottom w:type="dxa" w:w="100"/>
              <w:right w:type="dxa" w:w="80"/>
            </w:tcMar>
          </w:tcPr>
          <w:p>
            <w:pPr>
              <w:spacing w:before="60"/>
            </w:pPr>
            <w:r>
              <w:rPr>
                <w:rFonts w:ascii="Arial" w:cs="Arial" w:eastAsia="Arial" w:hAnsi="Arial"/>
                <w:sz w:val="18"/>
                <w:szCs w:val="18"/>
              </w:rPr>
              <w:t xml:space="preserve"> </w:t>
            </w:r>
          </w:p>
          <w:p>
            <w:r>
              <w:rPr>
                <w:rFonts w:ascii="Arial" w:cs="Arial" w:eastAsia="Arial" w:hAnsi="Arial"/>
                <w:sz w:val="18"/>
                <w:szCs w:val="18"/>
              </w:rPr>
              <w:t xml:space="preserve"> </w:t>
            </w:r>
          </w:p>
        </w:tc>
      </w:tr>
    </w:tbl>
    <w:p>
      <w:pPr>
        <w:spacing w:after="0" w:before="100"/>
      </w:pP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5. Orientaciones para el primer parcial</w:t>
      </w:r>
    </w:p>
    <w:p>
      <w:pPr>
        <w:spacing w:after="60" w:before="60"/>
      </w:pPr>
      <w:r>
        <w:rPr>
          <w:rFonts w:ascii="Arial" w:cs="Arial" w:eastAsia="Arial" w:hAnsi="Arial"/>
          <w:color w:val="2C2C2C"/>
          <w:sz w:val="20"/>
          <w:szCs w:val="20"/>
        </w:rPr>
        <w:t xml:space="preserve">El primer parcial escrito cierra las Unidades I y II. Estas son las orientaciones para prepararte:</w:t>
      </w:r>
    </w:p>
    <w:p>
      <w:pPr>
        <w:spacing w:after="80" w:before="180"/>
      </w:pPr>
      <w:r>
        <w:rPr>
          <w:rFonts w:ascii="Arial" w:cs="Arial" w:eastAsia="Arial" w:hAnsi="Arial"/>
          <w:b/>
          <w:bCs/>
          <w:color w:val="2C2C2C"/>
          <w:sz w:val="22"/>
          <w:szCs w:val="22"/>
        </w:rPr>
        <w:t xml:space="preserve">¿Qué evalúa el parcial?</w:t>
      </w:r>
    </w:p>
    <w:p>
      <w:pPr>
        <w:pStyle w:val="ListParagraph"/>
        <w:numPr>
          <w:ilvl w:val="0"/>
          <w:numId w:val="2"/>
        </w:numPr>
        <w:spacing w:after="40" w:before="40"/>
      </w:pPr>
      <w:r>
        <w:rPr>
          <w:rFonts w:ascii="Arial" w:cs="Arial" w:eastAsia="Arial" w:hAnsi="Arial"/>
          <w:color w:val="2C2C2C"/>
          <w:sz w:val="20"/>
          <w:szCs w:val="20"/>
        </w:rPr>
        <w:t xml:space="preserve">Comprensión conceptual: que puedas explicar con tus palabras qué propone cada teoría, cuáles son sus conceptos clave y en qué se diferencia de las demás.</w:t>
      </w:r>
    </w:p>
    <w:p>
      <w:pPr>
        <w:pStyle w:val="ListParagraph"/>
        <w:numPr>
          <w:ilvl w:val="0"/>
          <w:numId w:val="2"/>
        </w:numPr>
        <w:spacing w:after="40" w:before="40"/>
      </w:pPr>
      <w:r>
        <w:rPr>
          <w:rFonts w:ascii="Arial" w:cs="Arial" w:eastAsia="Arial" w:hAnsi="Arial"/>
          <w:color w:val="2C2C2C"/>
          <w:sz w:val="20"/>
          <w:szCs w:val="20"/>
        </w:rPr>
        <w:t xml:space="preserve">Articulación teoría-práctica: que puedas analizar una situación de sala desde al menos dos marcos teóricos distintos. No se trata de aplicar mecánicamente: se trata de 'leer' la situación con las herramientas que te dieron las teorías.</w:t>
      </w:r>
    </w:p>
    <w:p>
      <w:pPr>
        <w:pStyle w:val="ListParagraph"/>
        <w:numPr>
          <w:ilvl w:val="0"/>
          <w:numId w:val="2"/>
        </w:numPr>
        <w:spacing w:after="40" w:before="40"/>
      </w:pPr>
      <w:r>
        <w:rPr>
          <w:rFonts w:ascii="Arial" w:cs="Arial" w:eastAsia="Arial" w:hAnsi="Arial"/>
          <w:color w:val="2C2C2C"/>
          <w:sz w:val="20"/>
          <w:szCs w:val="20"/>
        </w:rPr>
        <w:t xml:space="preserve">Reflexión docente: que puedas tomar posición fundamentada sobre qué implica cada enfoque para la práctica del nivel inicial.</w:t>
      </w:r>
    </w:p>
    <w:p>
      <w:pPr>
        <w:spacing w:after="80" w:before="180"/>
      </w:pPr>
      <w:r>
        <w:rPr>
          <w:rFonts w:ascii="Arial" w:cs="Arial" w:eastAsia="Arial" w:hAnsi="Arial"/>
          <w:b/>
          <w:bCs/>
          <w:color w:val="2C2C2C"/>
          <w:sz w:val="22"/>
          <w:szCs w:val="22"/>
        </w:rPr>
        <w:t xml:space="preserve">¿Qué no evalúa?</w:t>
      </w:r>
    </w:p>
    <w:p>
      <w:pPr>
        <w:pStyle w:val="ListParagraph"/>
        <w:numPr>
          <w:ilvl w:val="0"/>
          <w:numId w:val="2"/>
        </w:numPr>
        <w:spacing w:after="40" w:before="40"/>
      </w:pPr>
      <w:r>
        <w:rPr>
          <w:rFonts w:ascii="Arial" w:cs="Arial" w:eastAsia="Arial" w:hAnsi="Arial"/>
          <w:color w:val="2C2C2C"/>
          <w:sz w:val="20"/>
          <w:szCs w:val="20"/>
        </w:rPr>
        <w:t xml:space="preserve">La reproducción textual de definiciones. No hace falta memorizar las palabras exactas del texto: hace falta comprender las ideas y poder explicarlas.</w:t>
      </w:r>
    </w:p>
    <w:p>
      <w:pPr>
        <w:pStyle w:val="ListParagraph"/>
        <w:numPr>
          <w:ilvl w:val="0"/>
          <w:numId w:val="2"/>
        </w:numPr>
        <w:spacing w:after="40" w:before="40"/>
      </w:pPr>
      <w:r>
        <w:rPr>
          <w:rFonts w:ascii="Arial" w:cs="Arial" w:eastAsia="Arial" w:hAnsi="Arial"/>
          <w:color w:val="2C2C2C"/>
          <w:sz w:val="20"/>
          <w:szCs w:val="20"/>
        </w:rPr>
        <w:t xml:space="preserve">La cantidad de información. Un análisis breve y preciso vale más que una lista de conceptos sin articulación.</w:t>
      </w:r>
    </w:p>
    <w:p>
      <w:pPr>
        <w:spacing w:after="80" w:before="180"/>
      </w:pPr>
      <w:r>
        <w:rPr>
          <w:rFonts w:ascii="Arial" w:cs="Arial" w:eastAsia="Arial" w:hAnsi="Arial"/>
          <w:b/>
          <w:bCs/>
          <w:color w:val="2C2C2C"/>
          <w:sz w:val="22"/>
          <w:szCs w:val="22"/>
        </w:rPr>
        <w:t xml:space="preserve">Criterios de valoración</w:t>
      </w:r>
    </w:p>
    <w:p>
      <w:pPr>
        <w:pStyle w:val="ListParagraph"/>
        <w:numPr>
          <w:ilvl w:val="0"/>
          <w:numId w:val="2"/>
        </w:numPr>
        <w:spacing w:after="40" w:before="40"/>
      </w:pPr>
      <w:r>
        <w:rPr>
          <w:rFonts w:ascii="Arial" w:cs="Arial" w:eastAsia="Arial" w:hAnsi="Arial"/>
          <w:color w:val="2C2C2C"/>
          <w:sz w:val="20"/>
          <w:szCs w:val="20"/>
        </w:rPr>
        <w:t xml:space="preserve">Coherencia lógica y discursiva en la expresión de ideas.</w:t>
      </w:r>
    </w:p>
    <w:p>
      <w:pPr>
        <w:pStyle w:val="ListParagraph"/>
        <w:numPr>
          <w:ilvl w:val="0"/>
          <w:numId w:val="2"/>
        </w:numPr>
        <w:spacing w:after="40" w:before="40"/>
      </w:pPr>
      <w:r>
        <w:rPr>
          <w:rFonts w:ascii="Arial" w:cs="Arial" w:eastAsia="Arial" w:hAnsi="Arial"/>
          <w:color w:val="2C2C2C"/>
          <w:sz w:val="20"/>
          <w:szCs w:val="20"/>
        </w:rPr>
        <w:t xml:space="preserve">Uso preciso del vocabulario específico de la disciplina.</w:t>
      </w:r>
    </w:p>
    <w:p>
      <w:pPr>
        <w:pStyle w:val="ListParagraph"/>
        <w:numPr>
          <w:ilvl w:val="0"/>
          <w:numId w:val="2"/>
        </w:numPr>
        <w:spacing w:after="40" w:before="40"/>
      </w:pPr>
      <w:r>
        <w:rPr>
          <w:rFonts w:ascii="Arial" w:cs="Arial" w:eastAsia="Arial" w:hAnsi="Arial"/>
          <w:color w:val="2C2C2C"/>
          <w:sz w:val="20"/>
          <w:szCs w:val="20"/>
        </w:rPr>
        <w:t xml:space="preserve">Selección, análisis e integración de la bibliografía con situaciones del nivel inicial.</w:t>
      </w:r>
    </w:p>
    <w:p>
      <w:pPr>
        <w:pStyle w:val="ListParagraph"/>
        <w:numPr>
          <w:ilvl w:val="0"/>
          <w:numId w:val="2"/>
        </w:numPr>
        <w:spacing w:after="40" w:before="40"/>
      </w:pPr>
      <w:r>
        <w:rPr>
          <w:rFonts w:ascii="Arial" w:cs="Arial" w:eastAsia="Arial" w:hAnsi="Arial"/>
          <w:color w:val="2C2C2C"/>
          <w:sz w:val="20"/>
          <w:szCs w:val="20"/>
        </w:rPr>
        <w:t xml:space="preserve">Capacidad de reflexión crítica y posicionamiento ético docente.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0C4BC" w:sz="1"/>
              <w:left w:val="single" w:color="D0C4BC" w:sz="1"/>
              <w:bottom w:val="single" w:color="D0C4BC" w:sz="1"/>
              <w:right w:val="single" w:color="D0C4BC" w:sz="1"/>
            </w:tcBorders>
            <w:shd w:fill="B85042" w:val="clear"/>
            <w:tcMar>
              <w:top w:type="dxa" w:w="80"/>
              <w:left w:type="dxa" w:w="160"/>
              <w:bottom w:type="dxa" w:w="80"/>
              <w:right w:type="dxa" w:w="160"/>
            </w:tcMar>
          </w:tcPr>
          <w:p>
            <w:r>
              <w:rPr>
                <w:rFonts w:ascii="Arial" w:cs="Arial" w:eastAsia="Arial" w:hAnsi="Arial"/>
                <w:b/>
                <w:bCs/>
                <w:color w:val="FFFFFF"/>
                <w:sz w:val="20"/>
                <w:szCs w:val="20"/>
              </w:rPr>
              <w:t xml:space="preserve">PREGUNTA PARA PENSAR ANTES DEL PARCIAL</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color w:val="2C2C2C"/>
                <w:sz w:val="20"/>
                <w:szCs w:val="20"/>
              </w:rPr>
              <w:t xml:space="preserve">¿Qué cambió en tu manera de ver a los niños desde que empezó la materia? ¿Y en tu manera de pensar el rol de la docente? Escribir media carilla con esta reflexión es la mejor preparación para el parcial.</w:t>
            </w:r>
          </w:p>
        </w:tc>
      </w:tr>
    </w:tbl>
    <w:p>
      <w:pPr>
        <w:spacing w:after="0" w:before="100"/>
      </w:pP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Glosario de conceptos clave · Clase 8</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0C4BC" w:sz="1"/>
              <w:left w:val="single" w:color="D0C4BC" w:sz="1"/>
              <w:bottom w:val="single" w:color="D0C4BC" w:sz="1"/>
              <w:right w:val="single" w:color="D0C4BC" w:sz="1"/>
            </w:tcBorders>
            <w:shd w:fill="B85042" w:val="clear"/>
            <w:tcMar>
              <w:top w:type="dxa" w:w="80"/>
              <w:left w:type="dxa" w:w="160"/>
              <w:bottom w:type="dxa" w:w="80"/>
              <w:right w:type="dxa" w:w="160"/>
            </w:tcMar>
          </w:tcPr>
          <w:p>
            <w:r>
              <w:rPr>
                <w:rFonts w:ascii="Arial" w:cs="Arial" w:eastAsia="Arial" w:hAnsi="Arial"/>
                <w:b/>
                <w:bCs/>
                <w:color w:val="FFFFFF"/>
                <w:sz w:val="20"/>
                <w:szCs w:val="20"/>
              </w:rPr>
              <w:t xml:space="preserve">Inteligencias múltiples (Gardner)</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color w:val="2C2C2C"/>
                <w:sz w:val="20"/>
                <w:szCs w:val="20"/>
              </w:rPr>
              <w:t xml:space="preserve">Propuesta teórica según la cual la inteligencia no es una capacidad unitaria y medible, sino un conjunto de al menos ocho capacidades relativamente independientes, cada una con su propio sistema neurológico y su propia expresión cultural.</w:t>
            </w:r>
          </w:p>
        </w:tc>
      </w:tr>
    </w:tbl>
    <w:p>
      <w:pPr>
        <w:spacing w:after="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0C4BC" w:sz="1"/>
              <w:left w:val="single" w:color="D0C4BC" w:sz="1"/>
              <w:bottom w:val="single" w:color="D0C4BC" w:sz="1"/>
              <w:right w:val="single" w:color="D0C4BC" w:sz="1"/>
            </w:tcBorders>
            <w:shd w:fill="C8793A" w:val="clear"/>
            <w:tcMar>
              <w:top w:type="dxa" w:w="80"/>
              <w:left w:type="dxa" w:w="160"/>
              <w:bottom w:type="dxa" w:w="80"/>
              <w:right w:type="dxa" w:w="160"/>
            </w:tcMar>
          </w:tcPr>
          <w:p>
            <w:r>
              <w:rPr>
                <w:rFonts w:ascii="Arial" w:cs="Arial" w:eastAsia="Arial" w:hAnsi="Arial"/>
                <w:b/>
                <w:bCs/>
                <w:color w:val="FFFFFF"/>
                <w:sz w:val="20"/>
                <w:szCs w:val="20"/>
              </w:rPr>
              <w:t xml:space="preserve">Perfil de inteligencias</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color w:val="2C2C2C"/>
                <w:sz w:val="20"/>
                <w:szCs w:val="20"/>
              </w:rPr>
              <w:t xml:space="preserve">Combinación singular de las distintas inteligencias en un sujeto. No existe un perfil 'mejor' que otro: existen perfiles diferentes, y la educación debe diversificarse para dar oportunidades a todos ellos.</w:t>
            </w:r>
          </w:p>
        </w:tc>
      </w:tr>
    </w:tbl>
    <w:p>
      <w:pPr>
        <w:spacing w:after="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0C4BC" w:sz="1"/>
              <w:left w:val="single" w:color="D0C4BC" w:sz="1"/>
              <w:bottom w:val="single" w:color="D0C4BC" w:sz="1"/>
              <w:right w:val="single" w:color="D0C4BC" w:sz="1"/>
            </w:tcBorders>
            <w:shd w:fill="B85042" w:val="clear"/>
            <w:tcMar>
              <w:top w:type="dxa" w:w="80"/>
              <w:left w:type="dxa" w:w="160"/>
              <w:bottom w:type="dxa" w:w="80"/>
              <w:right w:type="dxa" w:w="160"/>
            </w:tcMar>
          </w:tcPr>
          <w:p>
            <w:r>
              <w:rPr>
                <w:rFonts w:ascii="Arial" w:cs="Arial" w:eastAsia="Arial" w:hAnsi="Arial"/>
                <w:b/>
                <w:bCs/>
                <w:color w:val="FFFFFF"/>
                <w:sz w:val="20"/>
                <w:szCs w:val="20"/>
              </w:rPr>
              <w:t xml:space="preserve">Diversidad cognitiva</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color w:val="2C2C2C"/>
                <w:sz w:val="20"/>
                <w:szCs w:val="20"/>
              </w:rPr>
              <w:t xml:space="preserve">Reconocimiento de que los sujetos aprenden de maneras distintas, tienen fortalezas distintas y acceden al conocimiento por caminos distintos. Es el fundamento de una pedagogía inclusiva en el nivel inicial.</w:t>
            </w:r>
          </w:p>
        </w:tc>
      </w:tr>
    </w:tbl>
    <w:p>
      <w:pPr>
        <w:spacing w:after="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0C4BC" w:sz="1"/>
              <w:left w:val="single" w:color="D0C4BC" w:sz="1"/>
              <w:bottom w:val="single" w:color="D0C4BC" w:sz="1"/>
              <w:right w:val="single" w:color="D0C4BC" w:sz="1"/>
            </w:tcBorders>
            <w:shd w:fill="C8793A" w:val="clear"/>
            <w:tcMar>
              <w:top w:type="dxa" w:w="80"/>
              <w:left w:type="dxa" w:w="160"/>
              <w:bottom w:type="dxa" w:w="80"/>
              <w:right w:type="dxa" w:w="160"/>
            </w:tcMar>
          </w:tcPr>
          <w:p>
            <w:r>
              <w:rPr>
                <w:rFonts w:ascii="Arial" w:cs="Arial" w:eastAsia="Arial" w:hAnsi="Arial"/>
                <w:b/>
                <w:bCs/>
                <w:color w:val="FFFFFF"/>
                <w:sz w:val="20"/>
                <w:szCs w:val="20"/>
              </w:rPr>
              <w:t xml:space="preserve">Puntos de entrada múltiples</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color w:val="2C2C2C"/>
                <w:sz w:val="20"/>
                <w:szCs w:val="20"/>
              </w:rPr>
              <w:t xml:space="preserve">Estrategia pedagógica derivada de Gardner: diseñar propuestas que ofrezcan distintas vías de acceso al contenido (narrativa, lógica, estética, experimental, social) para que todos los niños puedan participar desde sus fortalezas.</w:t>
            </w:r>
          </w:p>
        </w:tc>
      </w:tr>
    </w:tbl>
    <w:p>
      <w:pPr>
        <w:spacing w:after="0" w:before="100"/>
      </w:pPr>
    </w:p>
    <w:p>
      <w:pPr>
        <w:spacing w:after="100" w:before="260"/>
      </w:pPr>
      <w:r>
        <w:rPr>
          <w:rFonts w:ascii="Arial" w:cs="Arial" w:eastAsia="Arial" w:hAnsi="Arial"/>
          <w:b/>
          <w:bCs/>
          <w:color w:val="B85042"/>
          <w:sz w:val="26"/>
          <w:szCs w:val="26"/>
        </w:rPr>
        <w:t xml:space="preserve">Referencias bibliográficas</w:t>
      </w:r>
    </w:p>
    <w:p>
      <w:pPr>
        <w:spacing w:after="60" w:before="60"/>
      </w:pPr>
      <w:r>
        <w:rPr>
          <w:rFonts w:ascii="Arial" w:cs="Arial" w:eastAsia="Arial" w:hAnsi="Arial"/>
          <w:color w:val="2C2C2C"/>
          <w:sz w:val="20"/>
          <w:szCs w:val="20"/>
        </w:rPr>
        <w:t xml:space="preserve">Armstrong, T. (2006). Inteligencias múltiples en el aula. Barcelona: Paidós.</w:t>
      </w:r>
    </w:p>
    <w:p>
      <w:pPr>
        <w:spacing w:after="60" w:before="60"/>
      </w:pPr>
      <w:r>
        <w:rPr>
          <w:rFonts w:ascii="Arial" w:cs="Arial" w:eastAsia="Arial" w:hAnsi="Arial"/>
          <w:color w:val="2C2C2C"/>
          <w:sz w:val="20"/>
          <w:szCs w:val="20"/>
        </w:rPr>
        <w:t xml:space="preserve">Baquero, R. y Limón, M. (2001). Introducción a la psicología del aprendizaje escolar. UNQ. Cap. 1.</w:t>
      </w:r>
    </w:p>
    <w:p>
      <w:pPr>
        <w:spacing w:after="60" w:before="60"/>
      </w:pPr>
      <w:r>
        <w:rPr>
          <w:rFonts w:ascii="Arial" w:cs="Arial" w:eastAsia="Arial" w:hAnsi="Arial"/>
          <w:color w:val="2C2C2C"/>
          <w:sz w:val="20"/>
          <w:szCs w:val="20"/>
        </w:rPr>
        <w:t xml:space="preserve">Gardner, H. (1983). Frames of Mind: The Theory of Multiple Intelligences. New York: Basic Books.</w:t>
      </w:r>
    </w:p>
    <w:p>
      <w:pPr>
        <w:spacing w:after="60" w:before="60"/>
      </w:pPr>
      <w:r>
        <w:rPr>
          <w:rFonts w:ascii="Arial" w:cs="Arial" w:eastAsia="Arial" w:hAnsi="Arial"/>
          <w:color w:val="2C2C2C"/>
          <w:sz w:val="20"/>
          <w:szCs w:val="20"/>
        </w:rPr>
        <w:t xml:space="preserve">Gardner, H. (1993). Inteligencias múltiples: La teoría en la práctica. Barcelona: Paidós.</w:t>
      </w:r>
    </w:p>
    <w:p>
      <w:pPr>
        <w:spacing w:after="60" w:before="60"/>
      </w:pPr>
      <w:r>
        <w:rPr>
          <w:rFonts w:ascii="Arial" w:cs="Arial" w:eastAsia="Arial" w:hAnsi="Arial"/>
          <w:color w:val="2C2C2C"/>
          <w:sz w:val="20"/>
          <w:szCs w:val="20"/>
        </w:rPr>
        <w:t xml:space="preserve">Gardner, H. (1999). Intelligence Reframed. Multiple Intelligences for the 21st Century. New York: Basic Books.</w:t>
      </w:r>
    </w:p>
    <w:p>
      <w:pPr>
        <w:spacing w:after="0" w:before="100"/>
      </w:pPr>
    </w:p>
    <w:p>
      <w:pPr>
        <w:pBdr>
          <w:top w:val="single" w:color="B85042" w:sz="2" w:space="1"/>
        </w:pBdr>
        <w:spacing w:before="80"/>
      </w:pPr>
      <w:r>
        <w:rPr>
          <w:rFonts w:ascii="Arial" w:cs="Arial" w:eastAsia="Arial" w:hAnsi="Arial"/>
          <w:i/>
          <w:iCs/>
          <w:color w:val="666666"/>
          <w:sz w:val="16"/>
          <w:szCs w:val="16"/>
        </w:rPr>
        <w:t xml:space="preserve">Psicología Educacional · Profesorado de Educación Inicial · Material de lectura · Clase 8</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2026-05-01T23:52:01.108Z</dcterms:created>
  <dcterms:modified xsi:type="dcterms:W3CDTF">2026-05-01T23:52:01.109Z</dcterms:modified>
</cp:coreProperties>
</file>

<file path=docProps/custom.xml><?xml version="1.0" encoding="utf-8"?>
<Properties xmlns="http://schemas.openxmlformats.org/officeDocument/2006/custom-properties" xmlns:vt="http://schemas.openxmlformats.org/officeDocument/2006/docPropsVTypes"/>
</file>