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B85042" w:val="clear"/>
          </w:tcPr>
          <w:p>
            <w:pPr>
              <w:pStyle w:val="Normal"/>
              <w:jc w:val="center"/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 xml:space="preserve">INSTITUTO SUPERIOR NUESTRA SEÑORA DE FÁTIMA (A-1486) </w:t>
            </w:r>
          </w:p>
          <w:p>
            <w:pPr>
              <w:pStyle w:val="Normal"/>
              <w:jc w:val="center"/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Incorporado a la Enseñanza Oficial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E7E8D1"/>
                <w:sz w:val="17"/>
                <w:szCs w:val="17"/>
              </w:rPr>
              <w:t>Profesorado de Educación Inicial · 2° año · Turno Noche · Ciclo lectivo 2026</w:t>
            </w:r>
          </w:p>
        </w:tc>
      </w:tr>
    </w:tbl>
    <w:p>
      <w:pPr>
        <w:pStyle w:val="Normal"/>
        <w:spacing w:before="40" w:after="10"/>
        <w:jc w:val="center"/>
        <w:rPr/>
      </w:pPr>
      <w:r>
        <w:rPr>
          <w:rFonts w:eastAsia="Georgia" w:cs="Georgia" w:ascii="Georgia" w:hAnsi="Georgia"/>
          <w:b/>
          <w:bCs/>
          <w:color w:val="B85042"/>
          <w:sz w:val="38"/>
          <w:szCs w:val="38"/>
        </w:rPr>
        <w:t>Psicología Educacional</w:t>
      </w:r>
    </w:p>
    <w:p>
      <w:pPr>
        <w:pStyle w:val="Normal"/>
        <w:spacing w:before="0" w:after="30"/>
        <w:jc w:val="center"/>
        <w:rPr/>
      </w:pPr>
      <w:r>
        <w:rPr>
          <w:rFonts w:eastAsia="Arial" w:cs="Arial"/>
          <w:b/>
          <w:bCs/>
          <w:color w:val="2C2C2C"/>
          <w:sz w:val="28"/>
          <w:szCs w:val="28"/>
        </w:rPr>
        <w:t>PRIMER PARCIAL ESCRITO</w:t>
      </w:r>
    </w:p>
    <w:p>
      <w:pPr>
        <w:pStyle w:val="Normal"/>
        <w:spacing w:before="0" w:after="50"/>
        <w:jc w:val="center"/>
        <w:rPr/>
      </w:pPr>
      <w:r>
        <w:rPr>
          <w:rFonts w:eastAsia="Arial" w:cs="Arial"/>
          <w:i/>
          <w:iCs/>
          <w:color w:val="666666"/>
          <w:sz w:val="19"/>
          <w:szCs w:val="19"/>
        </w:rPr>
        <w:t>Unidades I y II · Con consulta de carpeta · Tiempo: 90 minutos</w:t>
      </w:r>
    </w:p>
    <w:p>
      <w:pPr>
        <w:pStyle w:val="Normal"/>
        <w:pBdr>
          <w:bottom w:val="single" w:sz="4" w:space="1" w:color="B85042"/>
        </w:pBdr>
        <w:spacing w:before="140" w:after="1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30" w:type="dxa"/>
          <w:end w:w="80" w:type="dxa"/>
        </w:tblCellMar>
      </w:tblPr>
      <w:tblGrid>
        <w:gridCol w:w="5000"/>
        <w:gridCol w:w="4360"/>
      </w:tblGrid>
      <w:tr>
        <w:trPr>
          <w:trHeight w:val="392" w:hRule="atLeast"/>
        </w:trPr>
        <w:tc>
          <w:tcPr>
            <w:tcW w:w="5000" w:type="dxa"/>
            <w:tcBorders/>
          </w:tcPr>
          <w:p>
            <w:pPr>
              <w:pStyle w:val="Normal"/>
              <w:rPr>
                <w:rFonts w:ascii="Arial" w:hAnsi="Arial" w:eastAsia="Arial" w:cs="Arial"/>
                <w:b/>
                <w:bCs/>
                <w:color w:val="666666"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color w:val="666666"/>
                <w:sz w:val="19"/>
                <w:szCs w:val="19"/>
              </w:rPr>
            </w:r>
          </w:p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666666"/>
                <w:sz w:val="19"/>
                <w:szCs w:val="19"/>
              </w:rPr>
              <w:t xml:space="preserve">Apellido y nombre: </w:t>
            </w:r>
            <w:r>
              <w:rPr>
                <w:rFonts w:eastAsia="Arial" w:cs="Arial"/>
                <w:color w:val="666666"/>
                <w:sz w:val="19"/>
                <w:szCs w:val="19"/>
              </w:rPr>
              <w:t>_____________________________</w:t>
            </w:r>
          </w:p>
        </w:tc>
        <w:tc>
          <w:tcPr>
            <w:tcW w:w="4360" w:type="dxa"/>
            <w:tcBorders/>
            <w:tcMar>
              <w:start w:w="80" w:type="dxa"/>
              <w:end w:w="0" w:type="dxa"/>
            </w:tcMar>
          </w:tcPr>
          <w:p>
            <w:pPr>
              <w:pStyle w:val="Normal"/>
              <w:rPr>
                <w:rFonts w:ascii="Arial" w:hAnsi="Arial" w:eastAsia="Arial" w:cs="Arial"/>
                <w:b/>
                <w:bCs/>
                <w:color w:val="666666"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color w:val="666666"/>
                <w:sz w:val="19"/>
                <w:szCs w:val="19"/>
              </w:rPr>
            </w:r>
          </w:p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666666"/>
                <w:sz w:val="19"/>
                <w:szCs w:val="19"/>
              </w:rPr>
              <w:t xml:space="preserve">Fecha: </w:t>
            </w:r>
            <w:r>
              <w:rPr>
                <w:rFonts w:eastAsia="Arial" w:cs="Arial"/>
                <w:color w:val="666666"/>
                <w:sz w:val="19"/>
                <w:szCs w:val="19"/>
              </w:rPr>
              <w:t>_______________________________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B85042"/>
                <w:sz w:val="19"/>
                <w:szCs w:val="19"/>
              </w:rPr>
              <w:t>Instrucciones</w:t>
            </w:r>
          </w:p>
          <w:p>
            <w:pPr>
              <w:pStyle w:val="Normal"/>
              <w:spacing w:before="50" w:after="0"/>
              <w:rPr/>
            </w:pPr>
            <w:r>
              <w:rPr>
                <w:rFonts w:eastAsia="Arial" w:cs="Arial"/>
                <w:color w:val="2C2C2C"/>
                <w:sz w:val="17"/>
                <w:szCs w:val="17"/>
              </w:rPr>
              <w:t xml:space="preserve">→  </w:t>
            </w:r>
            <w:r>
              <w:rPr>
                <w:rFonts w:eastAsia="Arial" w:cs="Arial"/>
                <w:color w:val="2C2C2C"/>
                <w:sz w:val="17"/>
                <w:szCs w:val="17"/>
              </w:rPr>
              <w:t>El parcial tiene cuatro preguntas. El puntaje total es 25 puntos. Aprobás con 13/25.</w:t>
            </w:r>
          </w:p>
          <w:p>
            <w:pPr>
              <w:pStyle w:val="Normal"/>
              <w:spacing w:before="28" w:after="0"/>
              <w:rPr/>
            </w:pPr>
            <w:r>
              <w:rPr>
                <w:rFonts w:eastAsia="Arial" w:cs="Arial"/>
                <w:color w:val="2C2C2C"/>
                <w:sz w:val="17"/>
                <w:szCs w:val="17"/>
              </w:rPr>
              <w:t xml:space="preserve">→  </w:t>
            </w:r>
            <w:r>
              <w:rPr>
                <w:rFonts w:eastAsia="Arial" w:cs="Arial"/>
                <w:color w:val="2C2C2C"/>
                <w:sz w:val="17"/>
                <w:szCs w:val="17"/>
              </w:rPr>
              <w:t>Podés consultar tu carpeta y materiales en todo momento. No podés compartir materiales con compañeras.</w:t>
            </w:r>
          </w:p>
          <w:p>
            <w:pPr>
              <w:pStyle w:val="Normal"/>
              <w:spacing w:before="28" w:after="0"/>
              <w:rPr/>
            </w:pPr>
            <w:r>
              <w:rPr>
                <w:rFonts w:eastAsia="Arial" w:cs="Arial"/>
                <w:color w:val="2C2C2C"/>
                <w:sz w:val="17"/>
                <w:szCs w:val="17"/>
              </w:rPr>
              <w:t xml:space="preserve">→  </w:t>
            </w:r>
            <w:r>
              <w:rPr>
                <w:rFonts w:eastAsia="Arial" w:cs="Arial"/>
                <w:color w:val="2C2C2C"/>
                <w:sz w:val="17"/>
                <w:szCs w:val="17"/>
              </w:rPr>
              <w:t>Se evalúa comprensión, articulación y reflexión — no reproducción de definiciones de memoria.</w:t>
            </w:r>
          </w:p>
          <w:p>
            <w:pPr>
              <w:pStyle w:val="Normal"/>
              <w:spacing w:before="28" w:after="0"/>
              <w:rPr/>
            </w:pPr>
            <w:r>
              <w:rPr>
                <w:rFonts w:eastAsia="Arial" w:cs="Arial"/>
                <w:color w:val="2C2C2C"/>
                <w:sz w:val="17"/>
                <w:szCs w:val="17"/>
              </w:rPr>
              <w:t xml:space="preserve">→  </w:t>
            </w:r>
            <w:r>
              <w:rPr>
                <w:rFonts w:eastAsia="Arial" w:cs="Arial"/>
                <w:color w:val="2C2C2C"/>
                <w:sz w:val="17"/>
                <w:szCs w:val="17"/>
              </w:rPr>
              <w:t>Leé todo el examen antes de empezar. Administrá bien los 90 minutos según el puntaje de cada sección.</w:t>
            </w:r>
          </w:p>
          <w:p>
            <w:pPr>
              <w:pStyle w:val="Normal"/>
              <w:spacing w:before="28" w:after="0"/>
              <w:rPr/>
            </w:pPr>
            <w:r>
              <w:rPr>
                <w:rFonts w:eastAsia="Arial" w:cs="Arial"/>
                <w:color w:val="2C2C2C"/>
                <w:sz w:val="17"/>
                <w:szCs w:val="17"/>
              </w:rPr>
              <w:t xml:space="preserve">→  </w:t>
            </w:r>
            <w:r>
              <w:rPr>
                <w:rFonts w:eastAsia="Arial" w:cs="Arial"/>
                <w:color w:val="2C2C2C"/>
                <w:sz w:val="17"/>
                <w:szCs w:val="17"/>
              </w:rPr>
              <w:t>Escribí con letra clara. Para anular, tachá con una línea y continuá.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640"/>
        <w:gridCol w:w="7520"/>
        <w:gridCol w:w="1200"/>
      </w:tblGrid>
      <w:tr>
        <w:trPr/>
        <w:tc>
          <w:tcPr>
            <w:tcW w:w="6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B8504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Georgia" w:cs="Georgia" w:ascii="Georgia" w:hAnsi="Georgia"/>
                <w:b/>
                <w:bCs/>
                <w:color w:val="FFFFFF"/>
                <w:sz w:val="30"/>
                <w:szCs w:val="30"/>
              </w:rPr>
              <w:t>1</w:t>
            </w:r>
          </w:p>
        </w:tc>
        <w:tc>
          <w:tcPr>
            <w:tcW w:w="75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C2C2C" w:val="clear"/>
            <w:tcMar>
              <w:start w:w="180" w:type="dxa"/>
              <w:end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Preguntas cortas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793A" w:val="clear"/>
            <w:tcMar>
              <w:start w:w="80" w:type="dxa"/>
              <w:end w:w="8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6 puntos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color w:val="2C2C2C"/>
          <w:sz w:val="20"/>
          <w:szCs w:val="20"/>
        </w:rPr>
        <w:t>Respondé cada pregunta en no más de tres líneas. Usá vocabulario específico de la disciplina. No describas con ejemplos: explicá el concepto.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50"/>
              <w:rPr/>
            </w:pPr>
            <w:r>
              <w:rPr>
                <w:rFonts w:eastAsia="Arial" w:cs="Arial"/>
                <w:b/>
                <w:bCs/>
                <w:color w:val="B85042"/>
                <w:sz w:val="20"/>
                <w:szCs w:val="20"/>
              </w:rPr>
              <w:t xml:space="preserve">1.1.  </w:t>
            </w:r>
            <w:r>
              <w:rPr>
                <w:rFonts w:eastAsia="Arial" w:cs="Arial"/>
                <w:b/>
                <w:bCs/>
                <w:color w:val="2C2C2C"/>
                <w:sz w:val="20"/>
                <w:szCs w:val="20"/>
              </w:rPr>
              <w:t>¿Qué es la Zona de Desarrollo Próximo según Vygotski? ¿Por qué es relevante para la práctica docente en el nivel inicial?</w:t>
            </w:r>
          </w:p>
          <w:p>
            <w:pPr>
              <w:pStyle w:val="Normal"/>
              <w:pBdr>
                <w:bottom w:val="single" w:sz="2" w:space="1" w:color="DDDDDD"/>
              </w:pBdr>
              <w:spacing w:before="68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68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68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68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68" w:after="0"/>
              <w:rPr/>
            </w:pPr>
            <w:r>
              <w:rPr/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50"/>
              <w:rPr/>
            </w:pPr>
            <w:r>
              <w:rPr>
                <w:rFonts w:eastAsia="Arial" w:cs="Arial"/>
                <w:b/>
                <w:bCs/>
                <w:color w:val="B85042"/>
                <w:sz w:val="20"/>
                <w:szCs w:val="20"/>
              </w:rPr>
              <w:t xml:space="preserve">1.2.  </w:t>
            </w:r>
            <w:r>
              <w:rPr>
                <w:rFonts w:eastAsia="Arial" w:cs="Arial"/>
                <w:b/>
                <w:bCs/>
                <w:color w:val="2C2C2C"/>
                <w:sz w:val="20"/>
                <w:szCs w:val="20"/>
              </w:rPr>
              <w:t>¿Cuál es la diferencia entre asimilación y acomodación en la teoría de Piaget? ¿Qué papel cumple la equilibración?</w:t>
            </w:r>
          </w:p>
          <w:p>
            <w:pPr>
              <w:pStyle w:val="Normal"/>
              <w:pBdr>
                <w:bottom w:val="single" w:sz="2" w:space="1" w:color="DDDDDD"/>
              </w:pBdr>
              <w:spacing w:before="68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68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68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68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68" w:after="0"/>
              <w:rPr/>
            </w:pPr>
            <w:r>
              <w:rPr/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50"/>
              <w:rPr/>
            </w:pPr>
            <w:r>
              <w:rPr>
                <w:rFonts w:eastAsia="Arial" w:cs="Arial"/>
                <w:b/>
                <w:bCs/>
                <w:color w:val="B85042"/>
                <w:sz w:val="20"/>
                <w:szCs w:val="20"/>
              </w:rPr>
              <w:t xml:space="preserve">1.3.  </w:t>
            </w:r>
            <w:r>
              <w:rPr>
                <w:rFonts w:eastAsia="Arial" w:cs="Arial"/>
                <w:b/>
                <w:bCs/>
                <w:color w:val="2C2C2C"/>
                <w:sz w:val="20"/>
                <w:szCs w:val="20"/>
              </w:rPr>
              <w:t>¿Qué significa que la Psicología de la Educación es una 'disciplina puente'? ¿Cuáles son las tres finalidades que le atribuye Coll (1997)?</w:t>
            </w:r>
          </w:p>
          <w:p>
            <w:pPr>
              <w:pStyle w:val="Normal"/>
              <w:pBdr>
                <w:bottom w:val="single" w:sz="2" w:space="1" w:color="DDDDDD"/>
              </w:pBdr>
              <w:spacing w:before="68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68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68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68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68" w:after="0"/>
              <w:rPr/>
            </w:pPr>
            <w:r>
              <w:rPr/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50"/>
              <w:rPr/>
            </w:pPr>
            <w:r>
              <w:rPr>
                <w:rFonts w:eastAsia="Arial" w:cs="Arial"/>
                <w:b/>
                <w:bCs/>
                <w:color w:val="B85042"/>
                <w:sz w:val="20"/>
                <w:szCs w:val="20"/>
              </w:rPr>
              <w:t xml:space="preserve">1.4.  </w:t>
            </w:r>
            <w:r>
              <w:rPr>
                <w:rFonts w:eastAsia="Arial" w:cs="Arial"/>
                <w:b/>
                <w:bCs/>
                <w:color w:val="2C2C2C"/>
                <w:sz w:val="20"/>
                <w:szCs w:val="20"/>
              </w:rPr>
              <w:t>¿Qué son los subsumidores según Ausubel y cuál es su función en el aprendizaje significativo?</w:t>
            </w:r>
          </w:p>
          <w:p>
            <w:pPr>
              <w:pStyle w:val="Normal"/>
              <w:pBdr>
                <w:bottom w:val="single" w:sz="2" w:space="1" w:color="DDDDDD"/>
              </w:pBdr>
              <w:spacing w:before="68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68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68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68" w:after="0"/>
              <w:rPr/>
            </w:pPr>
            <w:r>
              <w:rPr/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50"/>
              <w:rPr/>
            </w:pPr>
            <w:r>
              <w:rPr>
                <w:rFonts w:eastAsia="Arial" w:cs="Arial"/>
                <w:b/>
                <w:bCs/>
                <w:color w:val="B85042"/>
                <w:sz w:val="20"/>
                <w:szCs w:val="20"/>
              </w:rPr>
              <w:t xml:space="preserve">1.5.  </w:t>
            </w:r>
            <w:r>
              <w:rPr>
                <w:rFonts w:eastAsia="Arial" w:cs="Arial"/>
                <w:b/>
                <w:bCs/>
                <w:color w:val="2C2C2C"/>
                <w:sz w:val="20"/>
                <w:szCs w:val="20"/>
              </w:rPr>
              <w:t>¿En qué consiste el aprendizaje por descubrimiento según Bruner? ¿Cuáles son los tres modos de representación?</w:t>
            </w:r>
          </w:p>
          <w:p>
            <w:pPr>
              <w:pStyle w:val="Normal"/>
              <w:pBdr>
                <w:bottom w:val="single" w:sz="2" w:space="1" w:color="DDDDDD"/>
              </w:pBdr>
              <w:spacing w:before="68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68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68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68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68" w:after="0"/>
              <w:rPr/>
            </w:pPr>
            <w:r>
              <w:rPr/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50"/>
              <w:rPr/>
            </w:pPr>
            <w:r>
              <w:rPr>
                <w:rFonts w:eastAsia="Arial" w:cs="Arial"/>
                <w:b/>
                <w:bCs/>
                <w:color w:val="B85042"/>
                <w:sz w:val="20"/>
                <w:szCs w:val="20"/>
              </w:rPr>
              <w:t xml:space="preserve">1.6.  </w:t>
            </w:r>
            <w:r>
              <w:rPr>
                <w:rFonts w:eastAsia="Arial" w:cs="Arial"/>
                <w:b/>
                <w:bCs/>
                <w:color w:val="2C2C2C"/>
                <w:sz w:val="20"/>
                <w:szCs w:val="20"/>
              </w:rPr>
              <w:t>¿Qué afirma Gardner sobre la inteligencia? ¿Qué implica eso para el diseño de propuestas en el nivel inicial?</w:t>
            </w:r>
          </w:p>
          <w:p>
            <w:pPr>
              <w:pStyle w:val="Normal"/>
              <w:pBdr>
                <w:bottom w:val="single" w:sz="2" w:space="1" w:color="DDDDDD"/>
              </w:pBdr>
              <w:spacing w:before="68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68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68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68" w:after="0"/>
              <w:rPr/>
            </w:pPr>
            <w:r>
              <w:rPr/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pBdr>
          <w:bottom w:val="single" w:sz="4" w:space="1" w:color="B85042"/>
        </w:pBdr>
        <w:spacing w:before="140" w:after="1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640"/>
        <w:gridCol w:w="7520"/>
        <w:gridCol w:w="1200"/>
      </w:tblGrid>
      <w:tr>
        <w:trPr/>
        <w:tc>
          <w:tcPr>
            <w:tcW w:w="6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B8504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Georgia" w:cs="Georgia" w:ascii="Georgia" w:hAnsi="Georgia"/>
                <w:b/>
                <w:bCs/>
                <w:color w:val="FFFFFF"/>
                <w:sz w:val="30"/>
                <w:szCs w:val="30"/>
              </w:rPr>
              <w:t>2</w:t>
            </w:r>
          </w:p>
        </w:tc>
        <w:tc>
          <w:tcPr>
            <w:tcW w:w="75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C2C2C" w:val="clear"/>
            <w:tcMar>
              <w:start w:w="180" w:type="dxa"/>
              <w:end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Desarrollo conceptual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793A" w:val="clear"/>
            <w:tcMar>
              <w:start w:w="80" w:type="dxa"/>
              <w:end w:w="8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7 puntos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color w:val="2C2C2C"/>
          <w:sz w:val="20"/>
          <w:szCs w:val="20"/>
        </w:rPr>
        <w:t>Respondé en forma de texto continuo. Se valoran la coherencia, el uso preciso del vocabulario y la conexión entre los conceptos. No hagas listas de ítems.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40"/>
        <w:rPr/>
      </w:pPr>
      <w:r>
        <w:rPr>
          <w:rFonts w:eastAsia="Arial" w:cs="Arial"/>
          <w:b/>
          <w:bCs/>
          <w:color w:val="B85042"/>
          <w:sz w:val="20"/>
          <w:szCs w:val="20"/>
        </w:rPr>
        <w:t xml:space="preserve">2.1  </w:t>
      </w:r>
      <w:r>
        <w:rPr>
          <w:rFonts w:eastAsia="Arial" w:cs="Arial"/>
          <w:b/>
          <w:bCs/>
          <w:color w:val="2C2C2C"/>
          <w:sz w:val="20"/>
          <w:szCs w:val="20"/>
        </w:rPr>
        <w:t>Elegí dos de las teorías del aprendizaje trabajadas en la Unidad II (conductismo, psicogenética, sociocultural, cognitivismo/Ausubel, Bruner o Gardner) y compará sus concepciones del aprendizaje. Considerá: ¿qué rol tiene el sujeto que aprende en cada una? ¿Qué lugar ocupa el docente? ¿En qué coinciden y en qué se diferencian?</w:t>
      </w:r>
    </w:p>
    <w:p>
      <w:pPr>
        <w:pStyle w:val="Normal"/>
        <w:spacing w:before="0" w:after="60"/>
        <w:jc w:val="end"/>
        <w:rPr/>
      </w:pPr>
      <w:r>
        <w:rPr>
          <w:rFonts w:eastAsia="Arial" w:cs="Arial"/>
          <w:i/>
          <w:iCs/>
          <w:color w:val="666666"/>
          <w:sz w:val="17"/>
          <w:szCs w:val="17"/>
        </w:rPr>
        <w:t>[ 4 puntos ]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40"/>
        <w:rPr>
          <w:rFonts w:ascii="Arial" w:hAnsi="Arial" w:eastAsia="Arial" w:cs="Arial"/>
          <w:b/>
          <w:bCs/>
          <w:color w:val="B85042"/>
          <w:sz w:val="20"/>
          <w:szCs w:val="20"/>
        </w:rPr>
      </w:pPr>
      <w:r>
        <w:rPr>
          <w:rFonts w:eastAsia="Arial" w:cs="Arial"/>
          <w:b/>
          <w:bCs/>
          <w:color w:val="B85042"/>
          <w:sz w:val="20"/>
          <w:szCs w:val="20"/>
        </w:rPr>
      </w:r>
    </w:p>
    <w:p>
      <w:pPr>
        <w:pStyle w:val="Normal"/>
        <w:spacing w:before="60" w:after="40"/>
        <w:rPr/>
      </w:pPr>
      <w:r>
        <w:rPr>
          <w:rFonts w:eastAsia="Arial" w:cs="Arial"/>
          <w:b/>
          <w:bCs/>
          <w:color w:val="B85042"/>
          <w:sz w:val="20"/>
          <w:szCs w:val="20"/>
        </w:rPr>
        <w:t xml:space="preserve">2.2  </w:t>
      </w:r>
      <w:r>
        <w:rPr>
          <w:rFonts w:eastAsia="Arial" w:cs="Arial"/>
          <w:b/>
          <w:bCs/>
          <w:color w:val="2C2C2C"/>
          <w:sz w:val="20"/>
          <w:szCs w:val="20"/>
        </w:rPr>
        <w:t>¿Qué es el andamiaje? ¿Cuáles son sus tres características centrales? Explicá cómo se vería en una situación concreta de sala de jardín de infantes.</w:t>
      </w:r>
    </w:p>
    <w:p>
      <w:pPr>
        <w:pStyle w:val="Normal"/>
        <w:spacing w:before="0" w:after="60"/>
        <w:jc w:val="end"/>
        <w:rPr/>
      </w:pPr>
      <w:r>
        <w:rPr>
          <w:rFonts w:eastAsia="Arial" w:cs="Arial"/>
          <w:i/>
          <w:iCs/>
          <w:color w:val="666666"/>
          <w:sz w:val="17"/>
          <w:szCs w:val="17"/>
        </w:rPr>
        <w:t>[ 3 puntos ]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640"/>
        <w:gridCol w:w="7520"/>
        <w:gridCol w:w="1200"/>
      </w:tblGrid>
      <w:tr>
        <w:trPr/>
        <w:tc>
          <w:tcPr>
            <w:tcW w:w="6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B8504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Georgia" w:cs="Georgia" w:ascii="Georgia" w:hAnsi="Georgia"/>
                <w:b/>
                <w:bCs/>
                <w:color w:val="FFFFFF"/>
                <w:sz w:val="30"/>
                <w:szCs w:val="30"/>
              </w:rPr>
              <w:t>3</w:t>
            </w:r>
          </w:p>
        </w:tc>
        <w:tc>
          <w:tcPr>
            <w:tcW w:w="75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C2C2C" w:val="clear"/>
            <w:tcMar>
              <w:start w:w="180" w:type="dxa"/>
              <w:end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Análisis de caso integrador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793A" w:val="clear"/>
            <w:tcMar>
              <w:start w:w="80" w:type="dxa"/>
              <w:end w:w="8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10 puntos</w:t>
            </w:r>
          </w:p>
        </w:tc>
      </w:tr>
    </w:tbl>
    <w:p>
      <w:pPr>
        <w:pStyle w:val="Normal"/>
        <w:spacing w:before="60" w:after="60"/>
        <w:rPr/>
      </w:pPr>
      <w:r>
        <w:rPr>
          <w:rFonts w:eastAsia="Arial" w:cs="Arial"/>
          <w:color w:val="2C2C2C"/>
          <w:sz w:val="20"/>
          <w:szCs w:val="20"/>
        </w:rPr>
        <w:t>Leé con atención la situación. Es una secuencia didáctica de tres momentos. Respondé cada sub-pregunta apoyándote en conceptos teóricos. Podés volver al caso cuantas veces necesites.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60" w:type="dxa"/>
          <w:bottom w:w="0" w:type="dxa"/>
          <w:end w:w="60" w:type="dxa"/>
        </w:tblCellMar>
      </w:tblPr>
      <w:tblGrid>
        <w:gridCol w:w="380"/>
        <w:gridCol w:w="8980"/>
      </w:tblGrid>
      <w:tr>
        <w:trPr/>
        <w:tc>
          <w:tcPr>
            <w:tcW w:w="3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793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3"/>
                <w:szCs w:val="13"/>
              </w:rPr>
              <w:t>C A S O</w:t>
            </w:r>
          </w:p>
        </w:tc>
        <w:tc>
          <w:tcPr>
            <w:tcW w:w="89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  <w:tcMar>
              <w:top w:w="120" w:type="dxa"/>
              <w:start w:w="180" w:type="dxa"/>
              <w:bottom w:w="120" w:type="dxa"/>
              <w:end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2C2C2C"/>
                <w:sz w:val="19"/>
                <w:szCs w:val="19"/>
              </w:rPr>
              <w:t>Clara es docente de sala de 4 años. Quiere trabajar la unidad 'El agua y sus cambios'. Así organiza la secuencia:  LUNES — Antes de mostrar nada, reúne al grupo en ronda y pregunta: '¿Dónde vieron agua esta semana? ¿Cómo estaba? ¿Fría, caliente, quieta, se movía?' Los niños hablan de la lluvia, del baño, de los charcos. Clara escucha y anota todo en un afiche sin corregir ni evaluar.  MIÉRCOLES — Propone una exploración libre con bandejas, hielo, agua tibia, agua fría, colorante y goteros. No hay consigna de resultado: solo '¿Qué pasa si...?' Los niños prueban, mezclan, observan. Clara circula, pregunta: '¿Qué descubriste?', '¿Podés hacer que vuelva a ser como antes?', '¿Por qué creés que pasó eso?' Cuando Nicolás logra derretir el hielo con sus manos y lo muestra al grupo, Clara aprovecha: 'Fijate lo que hizo Nicolás. ¿Cómo lo hizo? ¿Alguien quiere probarlo?'  VIERNES — Vuelven al afiche del lunes. Clara pregunta: '¿Qué agregaríamos ahora? ¿Qué cambiaríamos?' Los niños dictan, ella escribe. Al final, comparan el afiche original con el nuevo.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40"/>
        <w:rPr/>
      </w:pPr>
      <w:r>
        <w:rPr>
          <w:rFonts w:eastAsia="Arial" w:cs="Arial"/>
          <w:b/>
          <w:bCs/>
          <w:color w:val="B85042"/>
          <w:sz w:val="20"/>
          <w:szCs w:val="20"/>
        </w:rPr>
        <w:t xml:space="preserve">(a)  </w:t>
      </w:r>
      <w:r>
        <w:rPr>
          <w:rFonts w:eastAsia="Arial" w:cs="Arial"/>
          <w:b/>
          <w:bCs/>
          <w:color w:val="2C2C2C"/>
          <w:sz w:val="20"/>
          <w:szCs w:val="20"/>
        </w:rPr>
        <w:t>¿Qué está haciendo Clara el lunes desde la perspectiva de Ausubel? Nombrá el concepto exacto y explicá su función en el aprendizaje significativo.</w:t>
      </w:r>
      <w:r>
        <w:rPr>
          <w:rFonts w:eastAsia="Arial" w:cs="Arial"/>
          <w:i/>
          <w:iCs/>
          <w:color w:val="666666"/>
          <w:sz w:val="17"/>
          <w:szCs w:val="17"/>
        </w:rPr>
        <w:t xml:space="preserve">  — 3 puntos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</w:tc>
      </w:tr>
    </w:tbl>
    <w:p>
      <w:pPr>
        <w:pStyle w:val="Normal"/>
        <w:spacing w:before="80" w:after="40"/>
        <w:rPr/>
      </w:pPr>
      <w:r>
        <w:rPr>
          <w:rFonts w:eastAsia="Arial" w:cs="Arial"/>
          <w:b/>
          <w:bCs/>
          <w:color w:val="B85042"/>
          <w:sz w:val="20"/>
          <w:szCs w:val="20"/>
        </w:rPr>
        <w:t xml:space="preserve">(b)  </w:t>
      </w:r>
      <w:r>
        <w:rPr>
          <w:rFonts w:eastAsia="Arial" w:cs="Arial"/>
          <w:b/>
          <w:bCs/>
          <w:color w:val="2C2C2C"/>
          <w:sz w:val="20"/>
          <w:szCs w:val="20"/>
        </w:rPr>
        <w:t>Analizá la exploración del miércoles desde Bruner: ¿qué modo/s de representación están activos? ¿Hay aprendizaje por descubrimiento? ¿Cómo se evidencia? Mencioná también el papel del andamiaje en la intervención de Clara con Nicolás.</w:t>
      </w:r>
      <w:r>
        <w:rPr>
          <w:rFonts w:eastAsia="Arial" w:cs="Arial"/>
          <w:i/>
          <w:iCs/>
          <w:color w:val="666666"/>
          <w:sz w:val="17"/>
          <w:szCs w:val="17"/>
        </w:rPr>
        <w:t xml:space="preserve">  — 3 puntos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</w:tc>
      </w:tr>
    </w:tbl>
    <w:p>
      <w:pPr>
        <w:pStyle w:val="Normal"/>
        <w:spacing w:before="80" w:after="40"/>
        <w:rPr/>
      </w:pPr>
      <w:r>
        <w:rPr>
          <w:rFonts w:eastAsia="Arial" w:cs="Arial"/>
          <w:b/>
          <w:bCs/>
          <w:color w:val="B85042"/>
          <w:sz w:val="20"/>
          <w:szCs w:val="20"/>
        </w:rPr>
        <w:t xml:space="preserve">(c)  </w:t>
      </w:r>
      <w:r>
        <w:rPr>
          <w:rFonts w:eastAsia="Arial" w:cs="Arial"/>
          <w:b/>
          <w:bCs/>
          <w:color w:val="2C2C2C"/>
          <w:sz w:val="20"/>
          <w:szCs w:val="20"/>
        </w:rPr>
        <w:t>¿Cómo explicaría Piaget lo que ocurre cuando un niño predice que el hielo no se va a derretir y luego comprueba que sí? Usá los conceptos de asimilación, acomodación, equilibración y conflicto cognitivo.</w:t>
      </w:r>
      <w:r>
        <w:rPr>
          <w:rFonts w:eastAsia="Arial" w:cs="Arial"/>
          <w:i/>
          <w:iCs/>
          <w:color w:val="666666"/>
          <w:sz w:val="17"/>
          <w:szCs w:val="17"/>
        </w:rPr>
        <w:t xml:space="preserve">  — 2 puntos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40"/>
        <w:rPr/>
      </w:pPr>
      <w:r>
        <w:rPr>
          <w:rFonts w:eastAsia="Arial" w:cs="Arial"/>
          <w:b/>
          <w:bCs/>
          <w:color w:val="B85042"/>
          <w:sz w:val="20"/>
          <w:szCs w:val="20"/>
        </w:rPr>
        <w:t xml:space="preserve">(d)  </w:t>
      </w:r>
      <w:r>
        <w:rPr>
          <w:rFonts w:eastAsia="Arial" w:cs="Arial"/>
          <w:b/>
          <w:bCs/>
          <w:color w:val="2C2C2C"/>
          <w:sz w:val="20"/>
          <w:szCs w:val="20"/>
        </w:rPr>
        <w:t>Observando la secuencia completa: ¿qué inteligencias (Gardner) están siendo convocadas? ¿Qué agregarías en una cuarta clase para activar al menos dos inteligencias que no aparecen en la secuencia de Clara?</w:t>
      </w:r>
      <w:r>
        <w:rPr>
          <w:rFonts w:eastAsia="Arial" w:cs="Arial"/>
          <w:i/>
          <w:iCs/>
          <w:color w:val="666666"/>
          <w:sz w:val="17"/>
          <w:szCs w:val="17"/>
        </w:rPr>
        <w:t xml:space="preserve">  — 2 puntos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pBdr>
          <w:bottom w:val="single" w:sz="4" w:space="1" w:color="B85042"/>
        </w:pBdr>
        <w:spacing w:before="140" w:after="1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640"/>
        <w:gridCol w:w="7520"/>
        <w:gridCol w:w="1200"/>
      </w:tblGrid>
      <w:tr>
        <w:trPr/>
        <w:tc>
          <w:tcPr>
            <w:tcW w:w="6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B8504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Georgia" w:cs="Georgia" w:ascii="Georgia" w:hAnsi="Georgia"/>
                <w:b/>
                <w:bCs/>
                <w:color w:val="FFFFFF"/>
                <w:sz w:val="30"/>
                <w:szCs w:val="30"/>
              </w:rPr>
              <w:t>4</w:t>
            </w:r>
          </w:p>
        </w:tc>
        <w:tc>
          <w:tcPr>
            <w:tcW w:w="75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C2C2C" w:val="clear"/>
            <w:tcMar>
              <w:start w:w="180" w:type="dxa"/>
              <w:end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Reflexión docente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793A" w:val="clear"/>
            <w:tcMar>
              <w:start w:w="80" w:type="dxa"/>
              <w:end w:w="8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 puntos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color w:val="2C2C2C"/>
          <w:sz w:val="20"/>
          <w:szCs w:val="20"/>
        </w:rPr>
        <w:t>No hay respuesta correcta única. Se valora la honestidad del argumento, el anclaje en al menos un concepto teórico y la capacidad de reflexionar sobre la propia futura práctica.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40"/>
        <w:rPr/>
      </w:pPr>
      <w:r>
        <w:rPr>
          <w:rFonts w:eastAsia="Arial" w:cs="Arial"/>
          <w:b/>
          <w:bCs/>
          <w:color w:val="2C2C2C"/>
          <w:sz w:val="20"/>
          <w:szCs w:val="20"/>
        </w:rPr>
        <w:t>¿Qué cambió en tu manera de pensar el rol de la docente de jardín desde que empezaron las clases? Mencioná al menos un concepto o teoría que haya modificado tu mirada. Si quedaron tensiones o preguntas sin resolver, también podés incluirlas.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72" w:after="0"/>
              <w:rPr/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pBdr>
          <w:bottom w:val="single" w:sz="4" w:space="1" w:color="B85042"/>
        </w:pBdr>
        <w:spacing w:before="140" w:after="140"/>
        <w:rPr>
          <w:rFonts w:ascii="Arial" w:hAnsi="Arial" w:eastAsia="Arial" w:cs="Arial"/>
          <w:i/>
          <w:iCs/>
          <w:color w:val="666666"/>
          <w:sz w:val="16"/>
          <w:szCs w:val="16"/>
        </w:rPr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s-A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s-A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s-A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  <Pages>4</Pages>
  <Words>797</Words>
  <Characters>4213</Characters>
  <CharactersWithSpaces>4996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2026-05-02T21:56:11Z</dcterms:created>
  <dc:creator>Un-named</dc:creator>
  <dc:description/>
  <dc:language>es-AR</dc:language>
  <cp:lastModifiedBy/>
  <cp:lastPrinted>2026-06-19T10:46:07Z</cp:lastPrinted>
  <dcterms:modified xsi:type="dcterms:W3CDTF">2026-06-19T10:46:21Z</dcterms:modified>
  <cp:revision>2</cp:revision>
  <dc:subject/>
  <dc:title/>
</cp:coreProperties>
</file>