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color w:val="666666"/>
          <w:sz w:val="20"/>
          <w:szCs w:val="20"/>
        </w:rPr>
        <w:t xml:space="preserve">PROFESORADO DE EDUCACIÓN INICIAL — 2° AÑO</w:t>
      </w:r>
    </w:p>
    <w:p>
      <w:pPr>
        <w:spacing w:after="200"/>
        <w:jc w:val="center"/>
      </w:pPr>
      <w:r>
        <w:rPr>
          <w:rFonts w:ascii="Calibri" w:cs="Calibri" w:eastAsia="Calibri" w:hAnsi="Calibri"/>
          <w:color w:val="666666"/>
          <w:sz w:val="20"/>
          <w:szCs w:val="20"/>
        </w:rPr>
        <w:t xml:space="preserve">Psicología Educacional — Clase 10</w:t>
      </w:r>
    </w:p>
    <w:p>
      <w:pPr>
        <w:pStyle w:val="Heading1"/>
        <w:spacing w:after="120" w:before="300"/>
      </w:pPr>
      <w:r>
        <w:rPr>
          <w:rFonts w:ascii="Calibri" w:cs="Calibri" w:eastAsia="Calibri" w:hAnsi="Calibri"/>
          <w:b/>
          <w:bCs/>
          <w:color w:val="7B2D8B"/>
        </w:rPr>
        <w:t xml:space="preserve">Hinge Question — Evaluación formativa</w:t>
      </w:r>
    </w:p>
    <w:p>
      <w:pPr>
        <w:spacing w:after="80"/>
      </w:pPr>
      <w:r>
        <w:rPr>
          <w:rFonts w:ascii="Calibri" w:cs="Calibri" w:eastAsia="Calibri" w:hAnsi="Calibri"/>
          <w:i/>
          <w:iCs/>
          <w:sz w:val="22"/>
          <w:szCs w:val="22"/>
        </w:rPr>
        <w:t xml:space="preserve">Momento de uso: Minuto 18-22, después de la definición de estilo de aprendizaje y antes de entrar en los tres modelos.</w:t>
      </w:r>
    </w:p>
    <w:p>
      <w:pPr>
        <w:spacing w:after="120"/>
      </w:pPr>
    </w:p>
    <w:p>
      <w:pPr>
        <w:spacing w:after="80" w:before="200"/>
      </w:pPr>
      <w:r>
        <w:rPr>
          <w:rFonts w:ascii="Calibri" w:cs="Calibri" w:eastAsia="Calibri" w:hAnsi="Calibri"/>
          <w:b/>
          <w:bCs/>
          <w:color w:val="C77DFF"/>
          <w:sz w:val="24"/>
          <w:szCs w:val="24"/>
        </w:rPr>
        <w:t xml:space="preserve">¿Qué es un hinge question?</w:t>
      </w:r>
    </w:p>
    <w:p>
      <w:pPr>
        <w:spacing w:after="80"/>
      </w:pPr>
      <w:r>
        <w:rPr>
          <w:rFonts w:ascii="Calibri" w:cs="Calibri" w:eastAsia="Calibri" w:hAnsi="Calibri"/>
          <w:i/>
          <w:iCs/>
          <w:sz w:val="22"/>
          <w:szCs w:val="22"/>
        </w:rPr>
        <w:t xml:space="preserve">Es una pregunta diagnóstica que se ubica en un "pivote" (hinge) de la clase. Sirve para verificar si las estudiantes comprendieron un concepto clave antes de avanzar. Si la mayoría responde correctamente, se continúa. Si no, se re-enseña con otro ejemplo.</w:t>
      </w:r>
    </w:p>
    <w:p>
      <w:pPr>
        <w:spacing w:after="120"/>
      </w:pPr>
    </w:p>
    <w:p>
      <w:pPr>
        <w:spacing w:after="80" w:before="200"/>
      </w:pPr>
      <w:r>
        <w:rPr>
          <w:rFonts w:ascii="Calibri" w:cs="Calibri" w:eastAsia="Calibri" w:hAnsi="Calibri"/>
          <w:b/>
          <w:bCs/>
          <w:color w:val="C77DFF"/>
          <w:sz w:val="24"/>
          <w:szCs w:val="24"/>
        </w:rPr>
        <w:t xml:space="preserve">Instrucciones para la docente</w:t>
      </w:r>
    </w:p>
    <w:p>
      <w:pPr>
        <w:pStyle w:val="ListParagraph"/>
        <w:numPr>
          <w:ilvl w:val="0"/>
          <w:numId w:val="1"/>
        </w:numPr>
        <w:spacing w:after="60"/>
      </w:pPr>
      <w:r>
        <w:rPr>
          <w:rFonts w:ascii="Calibri" w:cs="Calibri" w:eastAsia="Calibri" w:hAnsi="Calibri"/>
          <w:sz w:val="22"/>
          <w:szCs w:val="22"/>
        </w:rPr>
        <w:t xml:space="preserve">Leer la pregunta en voz alta, despacio.</w:t>
      </w:r>
    </w:p>
    <w:p>
      <w:pPr>
        <w:pStyle w:val="ListParagraph"/>
        <w:numPr>
          <w:ilvl w:val="0"/>
          <w:numId w:val="1"/>
        </w:numPr>
        <w:spacing w:after="60"/>
      </w:pPr>
      <w:r>
        <w:rPr>
          <w:rFonts w:ascii="Calibri" w:cs="Calibri" w:eastAsia="Calibri" w:hAnsi="Calibri"/>
          <w:sz w:val="22"/>
          <w:szCs w:val="22"/>
        </w:rPr>
        <w:t xml:space="preserve">Pedir que piensen individualmente (3 segundos de silencio).</w:t>
      </w:r>
    </w:p>
    <w:p>
      <w:pPr>
        <w:pStyle w:val="ListParagraph"/>
        <w:numPr>
          <w:ilvl w:val="0"/>
          <w:numId w:val="1"/>
        </w:numPr>
        <w:spacing w:after="60"/>
      </w:pPr>
      <w:r>
        <w:rPr>
          <w:rFonts w:ascii="Calibri" w:cs="Calibri" w:eastAsia="Calibri" w:hAnsi="Calibri"/>
          <w:sz w:val="22"/>
          <w:szCs w:val="22"/>
        </w:rPr>
        <w:t xml:space="preserve">Decir: "Sin hablar, muestren con los dedos: 1, 2, 3 o 4".</w:t>
      </w:r>
    </w:p>
    <w:p>
      <w:pPr>
        <w:pStyle w:val="ListParagraph"/>
        <w:numPr>
          <w:ilvl w:val="0"/>
          <w:numId w:val="1"/>
        </w:numPr>
        <w:spacing w:after="60"/>
      </w:pPr>
      <w:r>
        <w:rPr>
          <w:rFonts w:ascii="Calibri" w:cs="Calibri" w:eastAsia="Calibri" w:hAnsi="Calibri"/>
          <w:sz w:val="22"/>
          <w:szCs w:val="22"/>
        </w:rPr>
        <w:t xml:space="preserve">Contar las respuestas rápidamente.</w:t>
      </w:r>
    </w:p>
    <w:p>
      <w:pPr>
        <w:pStyle w:val="ListParagraph"/>
        <w:numPr>
          <w:ilvl w:val="0"/>
          <w:numId w:val="1"/>
        </w:numPr>
        <w:spacing w:after="60"/>
      </w:pPr>
      <w:r>
        <w:rPr>
          <w:rFonts w:ascii="Calibri" w:cs="Calibri" w:eastAsia="Calibri" w:hAnsi="Calibri"/>
          <w:sz w:val="22"/>
          <w:szCs w:val="22"/>
        </w:rPr>
        <w:t xml:space="preserve">Tomar la decisión (ver tabla de interpretación más abajo).</w:t>
      </w:r>
    </w:p>
    <w:p>
      <w:pPr>
        <w:spacing w:after="120"/>
      </w:pPr>
    </w:p>
    <w:p>
      <w:pPr>
        <w:spacing w:after="80" w:before="200"/>
      </w:pPr>
      <w:r>
        <w:rPr>
          <w:rFonts w:ascii="Calibri" w:cs="Calibri" w:eastAsia="Calibri" w:hAnsi="Calibri"/>
          <w:b/>
          <w:bCs/>
          <w:color w:val="C77DFF"/>
          <w:sz w:val="24"/>
          <w:szCs w:val="24"/>
        </w:rPr>
        <w:t xml:space="preserve">La pregunta</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shd w:fill="F3E8FF" w:val="clear"/>
          </w:tcPr>
          <w:p>
            <w:pPr>
              <w:spacing w:after="120"/>
              <w:jc w:val="center"/>
            </w:pPr>
            <w:r>
              <w:rPr>
                <w:rFonts w:ascii="Calibri" w:cs="Calibri" w:eastAsia="Calibri" w:hAnsi="Calibri"/>
                <w:b/>
                <w:bCs/>
                <w:sz w:val="24"/>
                <w:szCs w:val="24"/>
              </w:rPr>
              <w:t xml:space="preserve">"Antes de ver los modelos, necesito verificar algo. Piensen y no hablen:</w:t>
            </w:r>
          </w:p>
          <w:p>
            <w:pPr>
              <w:spacing w:after="120"/>
              <w:jc w:val="center"/>
            </w:pPr>
            <w:r>
              <w:rPr>
                <w:rFonts w:ascii="Calibri" w:cs="Calibri" w:eastAsia="Calibri" w:hAnsi="Calibri"/>
                <w:b/>
                <w:bCs/>
                <w:sz w:val="24"/>
                <w:szCs w:val="24"/>
              </w:rPr>
              <w:t xml:space="preserve">Un estilo de aprendizaje es..."</w:t>
            </w:r>
          </w:p>
        </w:tc>
      </w:tr>
    </w:tbl>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8472"/>
      </w:tblGrid>
      <w:tr>
        <w:tc>
          <w:tcPr>
            <w:tcW w:type="dxa" w:w="600"/>
            <w:shd w:fill="F3E8FF" w:val="clear"/>
          </w:tcPr>
          <w:p>
            <w:pPr>
              <w:spacing w:after="40"/>
            </w:pPr>
            <w:r>
              <w:rPr>
                <w:rFonts w:ascii="Calibri" w:cs="Calibri" w:eastAsia="Calibri" w:hAnsi="Calibri"/>
                <w:b/>
                <w:bCs/>
                <w:sz w:val="22"/>
                <w:szCs w:val="22"/>
              </w:rPr>
              <w:t xml:space="preserve">1</w:t>
            </w:r>
          </w:p>
        </w:tc>
        <w:tc>
          <w:tcPr>
            <w:tcW w:type="dxa" w:w="8472"/>
          </w:tcPr>
          <w:p>
            <w:pPr>
              <w:spacing w:after="40"/>
            </w:pPr>
            <w:r>
              <w:rPr>
                <w:rFonts w:ascii="Calibri" w:cs="Calibri" w:eastAsia="Calibri" w:hAnsi="Calibri"/>
                <w:sz w:val="22"/>
                <w:szCs w:val="22"/>
              </w:rPr>
              <w:t xml:space="preserve">Una capacidad fija con la que se nace</w:t>
            </w:r>
          </w:p>
        </w:tc>
      </w:tr>
      <w:tr>
        <w:tc>
          <w:tcPr>
            <w:tcW w:type="dxa" w:w="600"/>
          </w:tcPr>
          <w:p>
            <w:pPr>
              <w:spacing w:after="40"/>
            </w:pPr>
            <w:r>
              <w:rPr>
                <w:rFonts w:ascii="Calibri" w:cs="Calibri" w:eastAsia="Calibri" w:hAnsi="Calibri"/>
                <w:b/>
                <w:bCs/>
                <w:sz w:val="22"/>
                <w:szCs w:val="22"/>
              </w:rPr>
              <w:t xml:space="preserve">2</w:t>
            </w:r>
          </w:p>
        </w:tc>
        <w:tc>
          <w:tcPr>
            <w:tcW w:type="dxa" w:w="8472"/>
          </w:tcPr>
          <w:p>
            <w:pPr>
              <w:spacing w:after="40"/>
            </w:pPr>
            <w:r>
              <w:rPr>
                <w:rFonts w:ascii="Calibri" w:cs="Calibri" w:eastAsia="Calibri" w:hAnsi="Calibri"/>
                <w:sz w:val="22"/>
                <w:szCs w:val="22"/>
              </w:rPr>
              <w:t xml:space="preserve">Una tendencia que puede cambiar con la experiencia</w:t>
            </w:r>
          </w:p>
        </w:tc>
      </w:tr>
      <w:tr>
        <w:tc>
          <w:tcPr>
            <w:tcW w:type="dxa" w:w="600"/>
            <w:shd w:fill="F3E8FF" w:val="clear"/>
          </w:tcPr>
          <w:p>
            <w:pPr>
              <w:spacing w:after="40"/>
            </w:pPr>
            <w:r>
              <w:rPr>
                <w:rFonts w:ascii="Calibri" w:cs="Calibri" w:eastAsia="Calibri" w:hAnsi="Calibri"/>
                <w:b/>
                <w:bCs/>
                <w:sz w:val="22"/>
                <w:szCs w:val="22"/>
              </w:rPr>
              <w:t xml:space="preserve">3</w:t>
            </w:r>
          </w:p>
        </w:tc>
        <w:tc>
          <w:tcPr>
            <w:tcW w:type="dxa" w:w="8472"/>
          </w:tcPr>
          <w:p>
            <w:pPr>
              <w:spacing w:after="40"/>
            </w:pPr>
            <w:r>
              <w:rPr>
                <w:rFonts w:ascii="Calibri" w:cs="Calibri" w:eastAsia="Calibri" w:hAnsi="Calibri"/>
                <w:sz w:val="22"/>
                <w:szCs w:val="22"/>
              </w:rPr>
              <w:t xml:space="preserve">Un diagnóstico definitivo de cómo aprende cada persona</w:t>
            </w:r>
          </w:p>
        </w:tc>
      </w:tr>
      <w:tr>
        <w:tc>
          <w:tcPr>
            <w:tcW w:type="dxa" w:w="600"/>
          </w:tcPr>
          <w:p>
            <w:pPr>
              <w:spacing w:after="40"/>
            </w:pPr>
            <w:r>
              <w:rPr>
                <w:rFonts w:ascii="Calibri" w:cs="Calibri" w:eastAsia="Calibri" w:hAnsi="Calibri"/>
                <w:b/>
                <w:bCs/>
                <w:sz w:val="22"/>
                <w:szCs w:val="22"/>
              </w:rPr>
              <w:t xml:space="preserve">4</w:t>
            </w:r>
          </w:p>
        </w:tc>
        <w:tc>
          <w:tcPr>
            <w:tcW w:type="dxa" w:w="8472"/>
          </w:tcPr>
          <w:p>
            <w:pPr>
              <w:spacing w:after="40"/>
            </w:pPr>
            <w:r>
              <w:rPr>
                <w:rFonts w:ascii="Calibri" w:cs="Calibri" w:eastAsia="Calibri" w:hAnsi="Calibri"/>
                <w:sz w:val="22"/>
                <w:szCs w:val="22"/>
              </w:rPr>
              <w:t xml:space="preserve">Lo mismo que inteligencia múltiple</w:t>
            </w:r>
          </w:p>
        </w:tc>
      </w:tr>
    </w:tbl>
    <w:p>
      <w:pPr>
        <w:spacing w:after="120"/>
      </w:pPr>
    </w:p>
    <w:p>
      <w:pPr>
        <w:spacing w:after="80" w:before="200"/>
      </w:pPr>
      <w:r>
        <w:rPr>
          <w:rFonts w:ascii="Calibri" w:cs="Calibri" w:eastAsia="Calibri" w:hAnsi="Calibri"/>
          <w:b/>
          <w:bCs/>
          <w:color w:val="C77DFF"/>
          <w:sz w:val="24"/>
          <w:szCs w:val="24"/>
        </w:rPr>
        <w:t xml:space="preserve">Respuesta correcta</w:t>
      </w:r>
    </w:p>
    <w:p>
      <w:pPr>
        <w:spacing w:after="80"/>
      </w:pPr>
      <w:r>
        <w:rPr>
          <w:rFonts w:ascii="Calibri" w:cs="Calibri" w:eastAsia="Calibri" w:hAnsi="Calibri"/>
          <w:b/>
          <w:bCs/>
          <w:sz w:val="22"/>
          <w:szCs w:val="22"/>
        </w:rPr>
        <w:t xml:space="preserve">Opción 2: "Una tendencia que puede cambiar con la experiencia"</w:t>
      </w:r>
    </w:p>
    <w:p>
      <w:pPr>
        <w:spacing w:after="120"/>
      </w:pPr>
    </w:p>
    <w:p>
      <w:pPr>
        <w:spacing w:after="80" w:before="200"/>
      </w:pPr>
      <w:r>
        <w:rPr>
          <w:rFonts w:ascii="Calibri" w:cs="Calibri" w:eastAsia="Calibri" w:hAnsi="Calibri"/>
          <w:b/>
          <w:bCs/>
          <w:color w:val="C77DFF"/>
          <w:sz w:val="24"/>
          <w:szCs w:val="24"/>
        </w:rPr>
        <w:t xml:space="preserve">Por qué las otras opciones son incorrectas</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472"/>
      </w:tblGrid>
      <w:tr>
        <w:tc>
          <w:tcPr>
            <w:tcW w:type="dxa" w:w="600"/>
            <w:shd w:fill="7B2D8B" w:val="clear"/>
          </w:tcPr>
          <w:p>
            <w:r>
              <w:rPr>
                <w:rFonts w:ascii="Calibri" w:cs="Calibri" w:eastAsia="Calibri" w:hAnsi="Calibri"/>
                <w:b/>
                <w:bCs/>
                <w:color w:val="FFFFFF"/>
                <w:sz w:val="22"/>
                <w:szCs w:val="22"/>
              </w:rPr>
              <w:t xml:space="preserve">Opción</w:t>
            </w:r>
          </w:p>
        </w:tc>
        <w:tc>
          <w:tcPr>
            <w:tcW w:type="dxa" w:w="2000"/>
            <w:shd w:fill="7B2D8B" w:val="clear"/>
          </w:tcPr>
          <w:p>
            <w:r>
              <w:rPr>
                <w:rFonts w:ascii="Calibri" w:cs="Calibri" w:eastAsia="Calibri" w:hAnsi="Calibri"/>
                <w:b/>
                <w:bCs/>
                <w:color w:val="FFFFFF"/>
                <w:sz w:val="22"/>
                <w:szCs w:val="22"/>
              </w:rPr>
              <w:t xml:space="preserve">¿Por qué no?</w:t>
            </w:r>
          </w:p>
        </w:tc>
        <w:tc>
          <w:tcPr>
            <w:tcW w:type="dxa" w:w="6472"/>
            <w:shd w:fill="7B2D8B" w:val="clear"/>
          </w:tcPr>
          <w:p>
            <w:r>
              <w:rPr>
                <w:rFonts w:ascii="Calibri" w:cs="Calibri" w:eastAsia="Calibri" w:hAnsi="Calibri"/>
                <w:b/>
                <w:bCs/>
                <w:color w:val="FFFFFF"/>
                <w:sz w:val="22"/>
                <w:szCs w:val="22"/>
              </w:rPr>
              <w:t xml:space="preserve">Explicación para las estudiantes</w:t>
            </w:r>
          </w:p>
        </w:tc>
      </w:tr>
      <w:tr>
        <w:tc>
          <w:tcPr>
            <w:tcW w:type="dxa" w:w="600"/>
          </w:tcPr>
          <w:p>
            <w:pPr>
              <w:spacing w:after="40"/>
            </w:pPr>
            <w:r>
              <w:rPr>
                <w:rFonts w:ascii="Calibri" w:cs="Calibri" w:eastAsia="Calibri" w:hAnsi="Calibri"/>
                <w:b/>
                <w:bCs/>
                <w:sz w:val="22"/>
                <w:szCs w:val="22"/>
              </w:rPr>
              <w:t xml:space="preserve">1</w:t>
            </w:r>
          </w:p>
        </w:tc>
        <w:tc>
          <w:tcPr>
            <w:tcW w:type="dxa" w:w="2000"/>
          </w:tcPr>
          <w:p>
            <w:pPr>
              <w:spacing w:after="40"/>
            </w:pPr>
            <w:r>
              <w:rPr>
                <w:rFonts w:ascii="Calibri" w:cs="Calibri" w:eastAsia="Calibri" w:hAnsi="Calibri"/>
                <w:sz w:val="22"/>
                <w:szCs w:val="22"/>
              </w:rPr>
              <w:t xml:space="preserve">Es una capacidad fija</w:t>
            </w:r>
          </w:p>
        </w:tc>
        <w:tc>
          <w:tcPr>
            <w:tcW w:type="dxa" w:w="6472"/>
          </w:tcPr>
          <w:p>
            <w:pPr>
              <w:spacing w:after="40"/>
            </w:pPr>
            <w:r>
              <w:rPr>
                <w:rFonts w:ascii="Calibri" w:cs="Calibri" w:eastAsia="Calibri" w:hAnsi="Calibri"/>
                <w:sz w:val="22"/>
                <w:szCs w:val="22"/>
              </w:rPr>
              <w:t xml:space="preserve">Los estilos no son innatos ni fijos. Son tendencias que se construyen con la experiencia y pueden variar según el contexto, la educación y las situaciones.</w:t>
            </w:r>
          </w:p>
        </w:tc>
      </w:tr>
      <w:tr>
        <w:tc>
          <w:tcPr>
            <w:tcW w:type="dxa" w:w="600"/>
            <w:shd w:fill="F3E8FF" w:val="clear"/>
          </w:tcPr>
          <w:p>
            <w:pPr>
              <w:spacing w:after="40"/>
            </w:pPr>
            <w:r>
              <w:rPr>
                <w:rFonts w:ascii="Calibri" w:cs="Calibri" w:eastAsia="Calibri" w:hAnsi="Calibri"/>
                <w:b/>
                <w:bCs/>
                <w:sz w:val="22"/>
                <w:szCs w:val="22"/>
              </w:rPr>
              <w:t xml:space="preserve">3</w:t>
            </w:r>
          </w:p>
        </w:tc>
        <w:tc>
          <w:tcPr>
            <w:tcW w:type="dxa" w:w="2000"/>
            <w:shd w:fill="F3E8FF" w:val="clear"/>
          </w:tcPr>
          <w:p>
            <w:pPr>
              <w:spacing w:after="40"/>
            </w:pPr>
            <w:r>
              <w:rPr>
                <w:rFonts w:ascii="Calibri" w:cs="Calibri" w:eastAsia="Calibri" w:hAnsi="Calibri"/>
                <w:sz w:val="22"/>
                <w:szCs w:val="22"/>
              </w:rPr>
              <w:t xml:space="preserve">Es un diagnóstico definitivo</w:t>
            </w:r>
          </w:p>
        </w:tc>
        <w:tc>
          <w:tcPr>
            <w:tcW w:type="dxa" w:w="6472"/>
            <w:shd w:fill="F3E8FF" w:val="clear"/>
          </w:tcPr>
          <w:p>
            <w:pPr>
              <w:spacing w:after="40"/>
            </w:pPr>
            <w:r>
              <w:rPr>
                <w:rFonts w:ascii="Calibri" w:cs="Calibri" w:eastAsia="Calibri" w:hAnsi="Calibri"/>
                <w:sz w:val="22"/>
                <w:szCs w:val="22"/>
              </w:rPr>
              <w:t xml:space="preserve">Los estilos no son un diagnóstico ni una etiqueta definitiva. Son herramientas de lectura pedagógica, no categorías cerradas.</w:t>
            </w:r>
          </w:p>
        </w:tc>
      </w:tr>
      <w:tr>
        <w:tc>
          <w:tcPr>
            <w:tcW w:type="dxa" w:w="600"/>
          </w:tcPr>
          <w:p>
            <w:pPr>
              <w:spacing w:after="40"/>
            </w:pPr>
            <w:r>
              <w:rPr>
                <w:rFonts w:ascii="Calibri" w:cs="Calibri" w:eastAsia="Calibri" w:hAnsi="Calibri"/>
                <w:b/>
                <w:bCs/>
                <w:sz w:val="22"/>
                <w:szCs w:val="22"/>
              </w:rPr>
              <w:t xml:space="preserve">4</w:t>
            </w:r>
          </w:p>
        </w:tc>
        <w:tc>
          <w:tcPr>
            <w:tcW w:type="dxa" w:w="2000"/>
          </w:tcPr>
          <w:p>
            <w:pPr>
              <w:spacing w:after="40"/>
            </w:pPr>
            <w:r>
              <w:rPr>
                <w:rFonts w:ascii="Calibri" w:cs="Calibri" w:eastAsia="Calibri" w:hAnsi="Calibri"/>
                <w:sz w:val="22"/>
                <w:szCs w:val="22"/>
              </w:rPr>
              <w:t xml:space="preserve">Es igual a inteligencia múltiple</w:t>
            </w:r>
          </w:p>
        </w:tc>
        <w:tc>
          <w:tcPr>
            <w:tcW w:type="dxa" w:w="6472"/>
          </w:tcPr>
          <w:p>
            <w:pPr>
              <w:spacing w:after="40"/>
            </w:pPr>
            <w:r>
              <w:rPr>
                <w:rFonts w:ascii="Calibri" w:cs="Calibri" w:eastAsia="Calibri" w:hAnsi="Calibri"/>
                <w:sz w:val="22"/>
                <w:szCs w:val="22"/>
              </w:rPr>
              <w:t xml:space="preserve">Son teorías distintas. Gardner habla de inteligencias múltiples (capacidades), Kolb de estilos (modos de procesar). No son lo mismo.</w:t>
            </w:r>
          </w:p>
        </w:tc>
      </w:tr>
    </w:tbl>
    <w:p>
      <w:pPr>
        <w:spacing w:after="120"/>
      </w:pPr>
    </w:p>
    <w:p>
      <w:pPr>
        <w:spacing w:after="80" w:before="200"/>
      </w:pPr>
      <w:r>
        <w:rPr>
          <w:rFonts w:ascii="Calibri" w:cs="Calibri" w:eastAsia="Calibri" w:hAnsi="Calibri"/>
          <w:b/>
          <w:bCs/>
          <w:color w:val="C77DFF"/>
          <w:sz w:val="24"/>
          <w:szCs w:val="24"/>
        </w:rPr>
        <w:t xml:space="preserve">Tabla de interpretación — ¿Qué hago con el resultado?</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72"/>
      </w:tblGrid>
      <w:tr>
        <w:tc>
          <w:tcPr>
            <w:tcW w:type="dxa" w:w="2000"/>
            <w:shd w:fill="7B2D8B" w:val="clear"/>
          </w:tcPr>
          <w:p>
            <w:r>
              <w:rPr>
                <w:rFonts w:ascii="Calibri" w:cs="Calibri" w:eastAsia="Calibri" w:hAnsi="Calibri"/>
                <w:b/>
                <w:bCs/>
                <w:color w:val="FFFFFF"/>
                <w:sz w:val="22"/>
                <w:szCs w:val="22"/>
              </w:rPr>
              <w:t xml:space="preserve">% elige opción 2</w:t>
            </w:r>
          </w:p>
        </w:tc>
        <w:tc>
          <w:tcPr>
            <w:tcW w:type="dxa" w:w="2000"/>
            <w:shd w:fill="7B2D8B" w:val="clear"/>
          </w:tcPr>
          <w:p>
            <w:r>
              <w:rPr>
                <w:rFonts w:ascii="Calibri" w:cs="Calibri" w:eastAsia="Calibri" w:hAnsi="Calibri"/>
                <w:b/>
                <w:bCs/>
                <w:color w:val="FFFFFF"/>
                <w:sz w:val="22"/>
                <w:szCs w:val="22"/>
              </w:rPr>
              <w:t xml:space="preserve">Decisión</w:t>
            </w:r>
          </w:p>
        </w:tc>
        <w:tc>
          <w:tcPr>
            <w:tcW w:type="dxa" w:w="5072"/>
            <w:shd w:fill="7B2D8B" w:val="clear"/>
          </w:tcPr>
          <w:p>
            <w:r>
              <w:rPr>
                <w:rFonts w:ascii="Calibri" w:cs="Calibri" w:eastAsia="Calibri" w:hAnsi="Calibri"/>
                <w:b/>
                <w:bCs/>
                <w:color w:val="FFFFFF"/>
                <w:sz w:val="22"/>
                <w:szCs w:val="22"/>
              </w:rPr>
              <w:t xml:space="preserve">Acción concreta</w:t>
            </w:r>
          </w:p>
        </w:tc>
      </w:tr>
      <w:tr>
        <w:tc>
          <w:tcPr>
            <w:tcW w:type="dxa" w:w="2000"/>
          </w:tcPr>
          <w:p>
            <w:pPr>
              <w:spacing w:after="40"/>
            </w:pPr>
            <w:r>
              <w:rPr>
                <w:rFonts w:ascii="Calibri" w:cs="Calibri" w:eastAsia="Calibri" w:hAnsi="Calibri"/>
                <w:b/>
                <w:bCs/>
                <w:sz w:val="22"/>
                <w:szCs w:val="22"/>
              </w:rPr>
              <w:t xml:space="preserve">80% o más</w:t>
            </w:r>
          </w:p>
        </w:tc>
        <w:tc>
          <w:tcPr>
            <w:tcW w:type="dxa" w:w="2000"/>
          </w:tcPr>
          <w:p>
            <w:pPr>
              <w:spacing w:after="40"/>
            </w:pPr>
            <w:r>
              <w:rPr>
                <w:rFonts w:ascii="Calibri" w:cs="Calibri" w:eastAsia="Calibri" w:hAnsi="Calibri"/>
                <w:sz w:val="22"/>
                <w:szCs w:val="22"/>
              </w:rPr>
              <w:t xml:space="preserve">Avanzar</w:t>
            </w:r>
          </w:p>
        </w:tc>
        <w:tc>
          <w:tcPr>
            <w:tcW w:type="dxa" w:w="5072"/>
          </w:tcPr>
          <w:p>
            <w:pPr>
              <w:spacing w:after="40"/>
            </w:pPr>
            <w:r>
              <w:rPr>
                <w:rFonts w:ascii="Calibri" w:cs="Calibri" w:eastAsia="Calibri" w:hAnsi="Calibri"/>
                <w:sz w:val="22"/>
                <w:szCs w:val="22"/>
              </w:rPr>
              <w:t xml:space="preserve">"Perfecto, ya tienen la base. Ahora vamos a ver 3 modelos que explican esas diferencias de estilo."</w:t>
            </w:r>
          </w:p>
        </w:tc>
      </w:tr>
      <w:tr>
        <w:tc>
          <w:tcPr>
            <w:tcW w:type="dxa" w:w="2000"/>
            <w:shd w:fill="F3E8FF" w:val="clear"/>
          </w:tcPr>
          <w:p>
            <w:pPr>
              <w:spacing w:after="40"/>
            </w:pPr>
            <w:r>
              <w:rPr>
                <w:rFonts w:ascii="Calibri" w:cs="Calibri" w:eastAsia="Calibri" w:hAnsi="Calibri"/>
                <w:b/>
                <w:bCs/>
                <w:sz w:val="22"/>
                <w:szCs w:val="22"/>
              </w:rPr>
              <w:t xml:space="preserve">50% – 79%</w:t>
            </w:r>
          </w:p>
        </w:tc>
        <w:tc>
          <w:tcPr>
            <w:tcW w:type="dxa" w:w="2000"/>
            <w:shd w:fill="F3E8FF" w:val="clear"/>
          </w:tcPr>
          <w:p>
            <w:pPr>
              <w:spacing w:after="40"/>
            </w:pPr>
            <w:r>
              <w:rPr>
                <w:rFonts w:ascii="Calibri" w:cs="Calibri" w:eastAsia="Calibri" w:hAnsi="Calibri"/>
                <w:sz w:val="22"/>
                <w:szCs w:val="22"/>
              </w:rPr>
              <w:t xml:space="preserve">Breve re-teach</w:t>
            </w:r>
          </w:p>
        </w:tc>
        <w:tc>
          <w:tcPr>
            <w:tcW w:type="dxa" w:w="5072"/>
            <w:shd w:fill="F3E8FF" w:val="clear"/>
          </w:tcPr>
          <w:p>
            <w:pPr>
              <w:spacing w:after="40"/>
            </w:pPr>
            <w:r>
              <w:rPr>
                <w:rFonts w:ascii="Calibri" w:cs="Calibri" w:eastAsia="Calibri" w:hAnsi="Calibri"/>
                <w:sz w:val="22"/>
                <w:szCs w:val="22"/>
              </w:rPr>
              <w:t xml:space="preserve">"Hay confusión. Repitan conmigo: 'Un estilo es una TENDENCIA, no una CAPACIDAD'. ¿Quién puede poner un ejemplo?"
(2 minutos de re-teach con otro ejemplo del jardín)</w:t>
            </w:r>
          </w:p>
        </w:tc>
      </w:tr>
      <w:tr>
        <w:tc>
          <w:tcPr>
            <w:tcW w:type="dxa" w:w="2000"/>
          </w:tcPr>
          <w:p>
            <w:pPr>
              <w:spacing w:after="40"/>
            </w:pPr>
            <w:r>
              <w:rPr>
                <w:rFonts w:ascii="Calibri" w:cs="Calibri" w:eastAsia="Calibri" w:hAnsi="Calibri"/>
                <w:b/>
                <w:bCs/>
                <w:sz w:val="22"/>
                <w:szCs w:val="22"/>
              </w:rPr>
              <w:t xml:space="preserve">Menos del 50%</w:t>
            </w:r>
          </w:p>
        </w:tc>
        <w:tc>
          <w:tcPr>
            <w:tcW w:type="dxa" w:w="2000"/>
          </w:tcPr>
          <w:p>
            <w:pPr>
              <w:spacing w:after="40"/>
            </w:pPr>
            <w:r>
              <w:rPr>
                <w:rFonts w:ascii="Calibri" w:cs="Calibri" w:eastAsia="Calibri" w:hAnsi="Calibri"/>
                <w:sz w:val="22"/>
                <w:szCs w:val="22"/>
              </w:rPr>
              <w:t xml:space="preserve">Volver a la definición</w:t>
            </w:r>
          </w:p>
        </w:tc>
        <w:tc>
          <w:tcPr>
            <w:tcW w:type="dxa" w:w="5072"/>
          </w:tcPr>
          <w:p>
            <w:pPr>
              <w:spacing w:after="40"/>
            </w:pPr>
            <w:r>
              <w:rPr>
                <w:rFonts w:ascii="Calibri" w:cs="Calibri" w:eastAsia="Calibri" w:hAnsi="Calibri"/>
                <w:sz w:val="22"/>
                <w:szCs w:val="22"/>
              </w:rPr>
              <w:t xml:space="preserve">"Necesitamos repasar. Vamos a volver a la definición con un ejemplo nuevo."
(Re-leer la diapositiva 1 con un ejemplo cotidiano: "Si yo aprendo mejor escuchando, eso no significa que no pueda aprender viendo. Es una tendencia, no una sentencia.")</w:t>
            </w:r>
          </w:p>
        </w:tc>
      </w:tr>
    </w:tbl>
    <w:p>
      <w:pPr>
        <w:spacing w:after="120"/>
      </w:pPr>
    </w:p>
    <w:p>
      <w:pPr>
        <w:spacing w:after="80" w:before="200"/>
      </w:pPr>
      <w:r>
        <w:rPr>
          <w:rFonts w:ascii="Calibri" w:cs="Calibri" w:eastAsia="Calibri" w:hAnsi="Calibri"/>
          <w:b/>
          <w:bCs/>
          <w:color w:val="C77DFF"/>
          <w:sz w:val="24"/>
          <w:szCs w:val="24"/>
        </w:rPr>
        <w:t xml:space="preserve">Variante: Hinge question con votación escrita</w:t>
      </w:r>
    </w:p>
    <w:p>
      <w:pPr>
        <w:spacing w:after="80"/>
      </w:pPr>
      <w:r>
        <w:rPr>
          <w:rFonts w:ascii="Calibri" w:cs="Calibri" w:eastAsia="Calibri" w:hAnsi="Calibri"/>
          <w:i/>
          <w:iCs/>
          <w:sz w:val="22"/>
          <w:szCs w:val="22"/>
        </w:rPr>
        <w:t xml:space="preserve">Si preferís que cada estudiante escriba su respuesta en un papelito (en lugar de mostrar dedos), podés recoger los papelitos y hacer un conteo rápido. Esto permite ver también el razonamiento si les pedís que escriban una palabra clave que justifique su elección.</w:t>
      </w:r>
    </w:p>
    <w:p>
      <w:pPr>
        <w:spacing w:after="120"/>
      </w:pPr>
    </w:p>
    <w:p>
      <w:pPr>
        <w:spacing w:after="80" w:before="200"/>
      </w:pPr>
      <w:r>
        <w:rPr>
          <w:rFonts w:ascii="Calibri" w:cs="Calibri" w:eastAsia="Calibri" w:hAnsi="Calibri"/>
          <w:b/>
          <w:bCs/>
          <w:color w:val="C77DFF"/>
          <w:sz w:val="24"/>
          <w:szCs w:val="24"/>
        </w:rPr>
        <w:t xml:space="preserve">Registro opcional</w:t>
      </w:r>
    </w:p>
    <w:p>
      <w:pPr>
        <w:spacing w:after="80"/>
      </w:pPr>
      <w:r>
        <w:rPr>
          <w:rFonts w:ascii="Calibri" w:cs="Calibri" w:eastAsia="Calibri" w:hAnsi="Calibri"/>
          <w:i/>
          <w:iCs/>
          <w:sz w:val="22"/>
          <w:szCs w:val="22"/>
        </w:rPr>
        <w:t xml:space="preserve">Si querés llevar un registro de la comprensión del grupo, podés anotar en esta tabla:</w:t>
      </w:r>
    </w:p>
    <w:p>
      <w:pPr>
        <w:spacing w:after="12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3072"/>
      </w:tblGrid>
      <w:tr>
        <w:tc>
          <w:tcPr>
            <w:tcW w:type="dxa" w:w="1500"/>
            <w:shd w:fill="7B2D8B" w:val="clear"/>
          </w:tcPr>
          <w:p>
            <w:r>
              <w:rPr>
                <w:rFonts w:ascii="Calibri" w:cs="Calibri" w:eastAsia="Calibri" w:hAnsi="Calibri"/>
                <w:b/>
                <w:bCs/>
                <w:color w:val="FFFFFF"/>
                <w:sz w:val="22"/>
                <w:szCs w:val="22"/>
              </w:rPr>
              <w:t xml:space="preserve">Opción 1</w:t>
            </w:r>
          </w:p>
        </w:tc>
        <w:tc>
          <w:tcPr>
            <w:tcW w:type="dxa" w:w="1500"/>
            <w:shd w:fill="7B2D8B" w:val="clear"/>
          </w:tcPr>
          <w:p>
            <w:r>
              <w:rPr>
                <w:rFonts w:ascii="Calibri" w:cs="Calibri" w:eastAsia="Calibri" w:hAnsi="Calibri"/>
                <w:b/>
                <w:bCs/>
                <w:color w:val="FFFFFF"/>
                <w:sz w:val="22"/>
                <w:szCs w:val="22"/>
              </w:rPr>
              <w:t xml:space="preserve">Opción 2</w:t>
            </w:r>
          </w:p>
        </w:tc>
        <w:tc>
          <w:tcPr>
            <w:tcW w:type="dxa" w:w="1500"/>
            <w:shd w:fill="7B2D8B" w:val="clear"/>
          </w:tcPr>
          <w:p>
            <w:r>
              <w:rPr>
                <w:rFonts w:ascii="Calibri" w:cs="Calibri" w:eastAsia="Calibri" w:hAnsi="Calibri"/>
                <w:b/>
                <w:bCs/>
                <w:color w:val="FFFFFF"/>
                <w:sz w:val="22"/>
                <w:szCs w:val="22"/>
              </w:rPr>
              <w:t xml:space="preserve">Opción 3</w:t>
            </w:r>
          </w:p>
        </w:tc>
        <w:tc>
          <w:tcPr>
            <w:tcW w:type="dxa" w:w="1500"/>
            <w:shd w:fill="7B2D8B" w:val="clear"/>
          </w:tcPr>
          <w:p>
            <w:r>
              <w:rPr>
                <w:rFonts w:ascii="Calibri" w:cs="Calibri" w:eastAsia="Calibri" w:hAnsi="Calibri"/>
                <w:b/>
                <w:bCs/>
                <w:color w:val="FFFFFF"/>
                <w:sz w:val="22"/>
                <w:szCs w:val="22"/>
              </w:rPr>
              <w:t xml:space="preserve">Opción 4</w:t>
            </w:r>
          </w:p>
        </w:tc>
        <w:tc>
          <w:tcPr>
            <w:tcW w:type="dxa" w:w="3072"/>
            <w:shd w:fill="7B2D8B" w:val="clear"/>
          </w:tcPr>
          <w:p>
            <w:r>
              <w:rPr>
                <w:rFonts w:ascii="Calibri" w:cs="Calibri" w:eastAsia="Calibri" w:hAnsi="Calibri"/>
                <w:b/>
                <w:bCs/>
                <w:color w:val="FFFFFF"/>
                <w:sz w:val="22"/>
                <w:szCs w:val="22"/>
              </w:rPr>
              <w:t xml:space="preserve">Observaciones</w:t>
            </w:r>
          </w:p>
        </w:tc>
      </w:tr>
      <w:tr>
        <w:tc>
          <w:tcPr>
            <w:tcW w:type="dxa" w:w="1500"/>
          </w:tcPr>
          <w:p>
            <w:pPr>
              <w:spacing w:after="40"/>
            </w:pPr>
            <w:r>
              <w:rPr>
                <w:rFonts w:ascii="Calibri" w:cs="Calibri" w:eastAsia="Calibri" w:hAnsi="Calibri"/>
                <w:sz w:val="22"/>
                <w:szCs w:val="22"/>
              </w:rPr>
              <w:t xml:space="preserve">___</w:t>
            </w:r>
          </w:p>
        </w:tc>
        <w:tc>
          <w:tcPr>
            <w:tcW w:type="dxa" w:w="1500"/>
          </w:tcPr>
          <w:p>
            <w:pPr>
              <w:spacing w:after="40"/>
            </w:pPr>
            <w:r>
              <w:rPr>
                <w:rFonts w:ascii="Calibri" w:cs="Calibri" w:eastAsia="Calibri" w:hAnsi="Calibri"/>
                <w:sz w:val="22"/>
                <w:szCs w:val="22"/>
              </w:rPr>
              <w:t xml:space="preserve">___</w:t>
            </w:r>
          </w:p>
        </w:tc>
        <w:tc>
          <w:tcPr>
            <w:tcW w:type="dxa" w:w="1500"/>
          </w:tcPr>
          <w:p>
            <w:pPr>
              <w:spacing w:after="40"/>
            </w:pPr>
            <w:r>
              <w:rPr>
                <w:rFonts w:ascii="Calibri" w:cs="Calibri" w:eastAsia="Calibri" w:hAnsi="Calibri"/>
                <w:sz w:val="22"/>
                <w:szCs w:val="22"/>
              </w:rPr>
              <w:t xml:space="preserve">___</w:t>
            </w:r>
          </w:p>
        </w:tc>
        <w:tc>
          <w:tcPr>
            <w:tcW w:type="dxa" w:w="1500"/>
          </w:tcPr>
          <w:p>
            <w:pPr>
              <w:spacing w:after="40"/>
            </w:pPr>
            <w:r>
              <w:rPr>
                <w:rFonts w:ascii="Calibri" w:cs="Calibri" w:eastAsia="Calibri" w:hAnsi="Calibri"/>
                <w:sz w:val="22"/>
                <w:szCs w:val="22"/>
              </w:rPr>
              <w:t xml:space="preserve">___</w:t>
            </w:r>
          </w:p>
        </w:tc>
        <w:tc>
          <w:tcPr>
            <w:tcW w:type="dxa" w:w="3072"/>
          </w:tcPr>
          <w:p>
            <w:pPr>
              <w:spacing w:after="40"/>
            </w:pPr>
            <w:r>
              <w:rPr>
                <w:rFonts w:ascii="Calibri" w:cs="Calibri" w:eastAsia="Calibri" w:hAnsi="Calibri"/>
                <w:sz w:val="22"/>
                <w:szCs w:val="22"/>
              </w:rPr>
              <w:t xml:space="preserve"/>
            </w:r>
          </w:p>
        </w:tc>
      </w:tr>
    </w:tbl>
    <w:p>
      <w:pPr>
        <w:spacing w:after="120"/>
      </w:pPr>
    </w:p>
    <w:p>
      <w:pPr>
        <w:spacing w:after="80"/>
      </w:pPr>
      <w:r>
        <w:rPr>
          <w:rFonts w:ascii="Calibri" w:cs="Calibri" w:eastAsia="Calibri" w:hAnsi="Calibri"/>
          <w:sz w:val="22"/>
          <w:szCs w:val="22"/>
        </w:rPr>
        <w:t xml:space="preserve">Fecha: _____________   Clase: 10   Tema: Estilos de aprendizaje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2026-08-18T00:37:14.227Z</dcterms:created>
  <dcterms:modified xsi:type="dcterms:W3CDTF">2026-08-18T00:37:14.229Z</dcterms:modified>
</cp:coreProperties>
</file>

<file path=docProps/custom.xml><?xml version="1.0" encoding="utf-8"?>
<Properties xmlns="http://schemas.openxmlformats.org/officeDocument/2006/custom-properties" xmlns:vt="http://schemas.openxmlformats.org/officeDocument/2006/docPropsVTypes"/>
</file>