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666666"/>
          <w:sz w:val="20"/>
          <w:szCs w:val="20"/>
        </w:rPr>
        <w:t xml:space="preserve">PROFESORADO DE EDUCACIÓN INICIAL — 2° AÑO</w:t>
      </w:r>
    </w:p>
    <w:p>
      <w:pPr>
        <w:spacing w:after="40"/>
        <w:jc w:val="center"/>
      </w:pPr>
      <w:r>
        <w:rPr>
          <w:rFonts w:ascii="Calibri" w:cs="Calibri" w:eastAsia="Calibri" w:hAnsi="Calibri"/>
          <w:color w:val="666666"/>
          <w:sz w:val="20"/>
          <w:szCs w:val="20"/>
        </w:rPr>
        <w:t xml:space="preserve">Psicología Educacional</w:t>
      </w:r>
    </w:p>
    <w:p>
      <w:pPr>
        <w:spacing w:after="200"/>
        <w:jc w:val="center"/>
      </w:pPr>
      <w:r>
        <w:rPr>
          <w:rFonts w:ascii="Calibri" w:cs="Calibri" w:eastAsia="Calibri" w:hAnsi="Calibri"/>
          <w:i/>
          <w:iCs/>
          <w:color w:val="666666"/>
          <w:sz w:val="20"/>
          <w:szCs w:val="20"/>
        </w:rPr>
        <w:t xml:space="preserve">Segunda mitad del año</w:t>
      </w:r>
    </w:p>
    <w:p>
      <w:pPr>
        <w:pStyle w:val="Heading1"/>
        <w:spacing w:after="120" w:before="300"/>
      </w:pPr>
      <w:r>
        <w:rPr>
          <w:rFonts w:ascii="Calibri" w:cs="Calibri" w:eastAsia="Calibri" w:hAnsi="Calibri"/>
          <w:b/>
          <w:bCs/>
          <w:color w:val="1E3A5F"/>
        </w:rPr>
        <w:t xml:space="preserve">Clase 10 — Estilos y modelos de aprendizaje</w:t>
      </w:r>
    </w:p>
    <w:p>
      <w:pPr>
        <w:spacing w:after="80"/>
        <w:jc w:val="center"/>
      </w:pPr>
      <w:r>
        <w:rPr>
          <w:rFonts w:ascii="Calibri" w:cs="Calibri" w:eastAsia="Calibri" w:hAnsi="Calibri"/>
          <w:i/>
          <w:iCs/>
          <w:color w:val="4A90D9"/>
          <w:sz w:val="26"/>
          <w:szCs w:val="26"/>
        </w:rPr>
        <w:t xml:space="preserve">Kolb, VAK y Honey-Alonso: distintas formas de aprender</w:t>
      </w:r>
    </w:p>
    <w:p>
      <w:pPr>
        <w:spacing w:after="200"/>
        <w:jc w:val="center"/>
      </w:pPr>
      <w:r>
        <w:rPr>
          <w:rFonts w:ascii="Calibri" w:cs="Calibri" w:eastAsia="Calibri" w:hAnsi="Calibri"/>
          <w:b/>
          <w:bCs/>
          <w:sz w:val="22"/>
          <w:szCs w:val="22"/>
        </w:rPr>
        <w:t xml:space="preserve">Duración: 80 minutos</w:t>
      </w:r>
    </w:p>
    <w:p>
      <w:pPr>
        <w:pStyle w:val="Heading1"/>
        <w:spacing w:after="120" w:before="300"/>
      </w:pPr>
      <w:r>
        <w:rPr>
          <w:rFonts w:ascii="Calibri" w:cs="Calibri" w:eastAsia="Calibri" w:hAnsi="Calibri"/>
          <w:b/>
          <w:bCs/>
          <w:color w:val="1E3A5F"/>
        </w:rPr>
        <w:t xml:space="preserve">Objetivos de la clase</w:t>
      </w:r>
    </w:p>
    <w:p>
      <w:pPr>
        <w:pStyle w:val="ListParagraph"/>
        <w:numPr>
          <w:ilvl w:val="0"/>
          <w:numId w:val="1"/>
        </w:numPr>
        <w:spacing w:after="60"/>
      </w:pPr>
      <w:r>
        <w:rPr>
          <w:rFonts w:ascii="Calibri" w:cs="Calibri" w:eastAsia="Calibri" w:hAnsi="Calibri"/>
          <w:sz w:val="22"/>
          <w:szCs w:val="22"/>
        </w:rPr>
        <w:t xml:space="preserve">Comprender el concepto de estilo de aprendizaje y su fundamentación teórica.</w:t>
      </w:r>
    </w:p>
    <w:p>
      <w:pPr>
        <w:pStyle w:val="ListParagraph"/>
        <w:numPr>
          <w:ilvl w:val="0"/>
          <w:numId w:val="1"/>
        </w:numPr>
        <w:spacing w:after="60"/>
      </w:pPr>
      <w:r>
        <w:rPr>
          <w:rFonts w:ascii="Calibri" w:cs="Calibri" w:eastAsia="Calibri" w:hAnsi="Calibri"/>
          <w:sz w:val="22"/>
          <w:szCs w:val="22"/>
        </w:rPr>
        <w:t xml:space="preserve">Conocer los tres modelos principales: experiencial de Kolb, VAK y Honey-Alonso (CHAEA).</w:t>
      </w:r>
    </w:p>
    <w:p>
      <w:pPr>
        <w:pStyle w:val="ListParagraph"/>
        <w:numPr>
          <w:ilvl w:val="0"/>
          <w:numId w:val="1"/>
        </w:numPr>
        <w:spacing w:after="60"/>
      </w:pPr>
      <w:r>
        <w:rPr>
          <w:rFonts w:ascii="Calibri" w:cs="Calibri" w:eastAsia="Calibri" w:hAnsi="Calibri"/>
          <w:sz w:val="22"/>
          <w:szCs w:val="22"/>
        </w:rPr>
        <w:t xml:space="preserve">Identificar el propio perfil de aprendizaje y reflexionar sobre sus implicancias.</w:t>
      </w:r>
    </w:p>
    <w:p>
      <w:pPr>
        <w:pStyle w:val="ListParagraph"/>
        <w:numPr>
          <w:ilvl w:val="0"/>
          <w:numId w:val="1"/>
        </w:numPr>
        <w:spacing w:after="60"/>
      </w:pPr>
      <w:r>
        <w:rPr>
          <w:rFonts w:ascii="Calibri" w:cs="Calibri" w:eastAsia="Calibri" w:hAnsi="Calibri"/>
          <w:sz w:val="22"/>
          <w:szCs w:val="22"/>
        </w:rPr>
        <w:t xml:space="preserve">Analizar críticamente la noción de estilo y sus límites para la práctica docente.</w:t>
      </w:r>
    </w:p>
    <w:p>
      <w:pPr>
        <w:spacing w:after="120"/>
      </w:pPr>
    </w:p>
    <w:p>
      <w:pPr>
        <w:pStyle w:val="Heading1"/>
        <w:spacing w:after="120" w:before="300"/>
      </w:pPr>
      <w:r>
        <w:rPr>
          <w:rFonts w:ascii="Calibri" w:cs="Calibri" w:eastAsia="Calibri" w:hAnsi="Calibri"/>
          <w:b/>
          <w:bCs/>
          <w:color w:val="1E3A5F"/>
        </w:rPr>
        <w:t xml:space="preserve">Desarrollo</w:t>
      </w:r>
    </w:p>
    <w:p>
      <w:pPr>
        <w:spacing w:after="80" w:before="200"/>
      </w:pPr>
      <w:r>
        <w:rPr>
          <w:rFonts w:ascii="Calibri" w:cs="Calibri" w:eastAsia="Calibri" w:hAnsi="Calibri"/>
          <w:b/>
          <w:bCs/>
          <w:color w:val="4A90D9"/>
          <w:sz w:val="24"/>
          <w:szCs w:val="24"/>
        </w:rPr>
        <w:t xml:space="preserve">Fase 1: Apertura — Recuperación y encuadre (10 min)</w:t>
      </w:r>
    </w:p>
    <w:p>
      <w:pPr>
        <w:spacing w:after="80"/>
      </w:pPr>
      <w:r>
        <w:rPr>
          <w:rFonts w:ascii="Calibri" w:cs="Calibri" w:eastAsia="Calibri" w:hAnsi="Calibri"/>
          <w:i/>
          <w:iCs/>
          <w:sz w:val="22"/>
          <w:szCs w:val="22"/>
        </w:rPr>
        <w:t xml:space="preserve">Objetivo de la apertura: Activar las observaciones de la semana, recuperar la definición de estilo de aprendizaje y encuadrar la intención de la clase.</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72"/>
      </w:tblGrid>
      <w:tr>
        <w:tc>
          <w:tcPr>
            <w:tcW w:type="dxa" w:w="1800"/>
            <w:shd w:fill="1E3A5F" w:val="clear"/>
          </w:tcPr>
          <w:p>
            <w:r>
              <w:rPr>
                <w:rFonts w:ascii="Calibri" w:cs="Calibri" w:eastAsia="Calibri" w:hAnsi="Calibri"/>
                <w:b/>
                <w:bCs/>
                <w:color w:val="FFFFFF"/>
                <w:sz w:val="22"/>
                <w:szCs w:val="22"/>
              </w:rPr>
              <w:t xml:space="preserve">Tiempo</w:t>
            </w:r>
          </w:p>
        </w:tc>
        <w:tc>
          <w:tcPr>
            <w:tcW w:type="dxa" w:w="2200"/>
            <w:shd w:fill="1E3A5F" w:val="clear"/>
          </w:tcPr>
          <w:p>
            <w:r>
              <w:rPr>
                <w:rFonts w:ascii="Calibri" w:cs="Calibri" w:eastAsia="Calibri" w:hAnsi="Calibri"/>
                <w:b/>
                <w:bCs/>
                <w:color w:val="FFFFFF"/>
                <w:sz w:val="22"/>
                <w:szCs w:val="22"/>
              </w:rPr>
              <w:t xml:space="preserve">Actividad</w:t>
            </w:r>
          </w:p>
        </w:tc>
        <w:tc>
          <w:tcPr>
            <w:tcW w:type="dxa" w:w="5072"/>
            <w:shd w:fill="1E3A5F" w:val="clear"/>
          </w:tcPr>
          <w:p>
            <w:r>
              <w:rPr>
                <w:rFonts w:ascii="Calibri" w:cs="Calibri" w:eastAsia="Calibri" w:hAnsi="Calibri"/>
                <w:b/>
                <w:bCs/>
                <w:color w:val="FFFFFF"/>
                <w:sz w:val="22"/>
                <w:szCs w:val="22"/>
              </w:rPr>
              <w:t xml:space="preserve">Descripción</w:t>
            </w:r>
          </w:p>
        </w:tc>
      </w:tr>
      <w:tr>
        <w:tc>
          <w:tcPr>
            <w:tcW w:type="dxa" w:w="1800"/>
          </w:tcPr>
          <w:p>
            <w:pPr>
              <w:spacing w:after="40"/>
            </w:pPr>
            <w:r>
              <w:rPr>
                <w:rFonts w:ascii="Calibri" w:cs="Calibri" w:eastAsia="Calibri" w:hAnsi="Calibri"/>
                <w:b/>
                <w:bCs/>
                <w:sz w:val="22"/>
                <w:szCs w:val="22"/>
              </w:rPr>
              <w:t xml:space="preserve">0-2 min</w:t>
            </w:r>
          </w:p>
        </w:tc>
        <w:tc>
          <w:tcPr>
            <w:tcW w:type="dxa" w:w="2200"/>
          </w:tcPr>
          <w:p>
            <w:pPr>
              <w:spacing w:after="40"/>
            </w:pPr>
            <w:r>
              <w:rPr>
                <w:rFonts w:ascii="Calibri" w:cs="Calibri" w:eastAsia="Calibri" w:hAnsi="Calibri"/>
                <w:b/>
                <w:bCs/>
                <w:sz w:val="22"/>
                <w:szCs w:val="22"/>
              </w:rPr>
              <w:t xml:space="preserve">Do Now</w:t>
            </w:r>
          </w:p>
        </w:tc>
        <w:tc>
          <w:tcPr>
            <w:tcW w:type="dxa" w:w="5072"/>
          </w:tcPr>
          <w:p>
            <w:pPr>
              <w:spacing w:after="40"/>
            </w:pPr>
            <w:r>
              <w:rPr>
                <w:rFonts w:ascii="Calibri" w:cs="Calibri" w:eastAsia="Calibri" w:hAnsi="Calibri"/>
                <w:sz w:val="22"/>
                <w:szCs w:val="22"/>
              </w:rPr>
              <w:t xml:space="preserve">En el pizarrón o proyectado, las estudiantes leen y responden en su cuaderno:
(1) ¿Qué es un estilo de aprendizaje?
(2) ¿Cuál creés que es el tuyo?
(3) ¿Viste alguna diferencia de aprendizaje en tu observación de la semana?
Sin conversar, cada una escribe individualmente.</w:t>
            </w:r>
          </w:p>
        </w:tc>
      </w:tr>
      <w:tr>
        <w:tc>
          <w:tcPr>
            <w:tcW w:type="dxa" w:w="1800"/>
            <w:shd w:fill="E8F0FE" w:val="clear"/>
          </w:tcPr>
          <w:p>
            <w:pPr>
              <w:spacing w:after="40"/>
            </w:pPr>
            <w:r>
              <w:rPr>
                <w:rFonts w:ascii="Calibri" w:cs="Calibri" w:eastAsia="Calibri" w:hAnsi="Calibri"/>
                <w:b/>
                <w:bCs/>
                <w:sz w:val="22"/>
                <w:szCs w:val="22"/>
              </w:rPr>
              <w:t xml:space="preserve">2-5 min</w:t>
            </w:r>
          </w:p>
        </w:tc>
        <w:tc>
          <w:tcPr>
            <w:tcW w:type="dxa" w:w="2200"/>
            <w:shd w:fill="E8F0FE" w:val="clear"/>
          </w:tcPr>
          <w:p>
            <w:pPr>
              <w:spacing w:after="40"/>
            </w:pPr>
            <w:r>
              <w:rPr>
                <w:rFonts w:ascii="Calibri" w:cs="Calibri" w:eastAsia="Calibri" w:hAnsi="Calibri"/>
                <w:b/>
                <w:bCs/>
                <w:sz w:val="22"/>
                <w:szCs w:val="22"/>
              </w:rPr>
              <w:t xml:space="preserve">Share en parejas</w:t>
            </w:r>
          </w:p>
        </w:tc>
        <w:tc>
          <w:tcPr>
            <w:tcW w:type="dxa" w:w="5072"/>
            <w:shd w:fill="E8F0FE" w:val="clear"/>
          </w:tcPr>
          <w:p>
            <w:pPr>
              <w:spacing w:after="40"/>
            </w:pPr>
            <w:r>
              <w:rPr>
                <w:rFonts w:ascii="Calibri" w:cs="Calibri" w:eastAsia="Calibri" w:hAnsi="Calibri"/>
                <w:sz w:val="22"/>
                <w:szCs w:val="22"/>
              </w:rPr>
              <w:t xml:space="preserve">Comparten sus respuestas con un/a compañero/a. La docente circula, escucha y identifica ideas clave para la puesta en común.</w:t>
            </w:r>
          </w:p>
        </w:tc>
      </w:tr>
      <w:tr>
        <w:tc>
          <w:tcPr>
            <w:tcW w:type="dxa" w:w="1800"/>
          </w:tcPr>
          <w:p>
            <w:pPr>
              <w:spacing w:after="40"/>
            </w:pPr>
            <w:r>
              <w:rPr>
                <w:rFonts w:ascii="Calibri" w:cs="Calibri" w:eastAsia="Calibri" w:hAnsi="Calibri"/>
                <w:b/>
                <w:bCs/>
                <w:sz w:val="22"/>
                <w:szCs w:val="22"/>
              </w:rPr>
              <w:t xml:space="preserve">5-8 min</w:t>
            </w:r>
          </w:p>
        </w:tc>
        <w:tc>
          <w:tcPr>
            <w:tcW w:type="dxa" w:w="2200"/>
          </w:tcPr>
          <w:p>
            <w:pPr>
              <w:spacing w:after="40"/>
            </w:pPr>
            <w:r>
              <w:rPr>
                <w:rFonts w:ascii="Calibri" w:cs="Calibri" w:eastAsia="Calibri" w:hAnsi="Calibri"/>
                <w:b/>
                <w:bCs/>
                <w:sz w:val="22"/>
                <w:szCs w:val="22"/>
              </w:rPr>
              <w:t xml:space="preserve">Puesta en común</w:t>
            </w:r>
          </w:p>
        </w:tc>
        <w:tc>
          <w:tcPr>
            <w:tcW w:type="dxa" w:w="5072"/>
          </w:tcPr>
          <w:p>
            <w:pPr>
              <w:spacing w:after="40"/>
            </w:pPr>
            <w:r>
              <w:rPr>
                <w:rFonts w:ascii="Calibri" w:cs="Calibri" w:eastAsia="Calibri" w:hAnsi="Calibri"/>
                <w:sz w:val="22"/>
                <w:szCs w:val="22"/>
              </w:rPr>
              <w:t xml:space="preserve">3-4 estudiantes comparten sus respuestas. La docente sistematiza en el pizarrón y conecta con la pregunta de la Clase 9: "Si todos construimos el conocimiento activamente, ¿por qué no todos aprendemos del mismo modo?"</w:t>
            </w:r>
          </w:p>
        </w:tc>
      </w:tr>
      <w:tr>
        <w:tc>
          <w:tcPr>
            <w:tcW w:type="dxa" w:w="1800"/>
            <w:shd w:fill="E8F0FE" w:val="clear"/>
          </w:tcPr>
          <w:p>
            <w:pPr>
              <w:spacing w:after="40"/>
            </w:pPr>
            <w:r>
              <w:rPr>
                <w:rFonts w:ascii="Calibri" w:cs="Calibri" w:eastAsia="Calibri" w:hAnsi="Calibri"/>
                <w:b/>
                <w:bCs/>
                <w:sz w:val="22"/>
                <w:szCs w:val="22"/>
              </w:rPr>
              <w:t xml:space="preserve">8-10 min</w:t>
            </w:r>
          </w:p>
        </w:tc>
        <w:tc>
          <w:tcPr>
            <w:tcW w:type="dxa" w:w="2200"/>
            <w:shd w:fill="E8F0FE" w:val="clear"/>
          </w:tcPr>
          <w:p>
            <w:pPr>
              <w:spacing w:after="40"/>
            </w:pPr>
            <w:r>
              <w:rPr>
                <w:rFonts w:ascii="Calibri" w:cs="Calibri" w:eastAsia="Calibri" w:hAnsi="Calibri"/>
                <w:b/>
                <w:bCs/>
                <w:sz w:val="22"/>
                <w:szCs w:val="22"/>
              </w:rPr>
              <w:t xml:space="preserve">Intención de aprendizaje</w:t>
            </w:r>
          </w:p>
        </w:tc>
        <w:tc>
          <w:tcPr>
            <w:tcW w:type="dxa" w:w="5072"/>
            <w:shd w:fill="E8F0FE" w:val="clear"/>
          </w:tcPr>
          <w:p>
            <w:pPr>
              <w:spacing w:after="40"/>
            </w:pPr>
            <w:r>
              <w:rPr>
                <w:rFonts w:ascii="Calibri" w:cs="Calibri" w:eastAsia="Calibri" w:hAnsi="Calibri"/>
                <w:sz w:val="22"/>
                <w:szCs w:val="22"/>
              </w:rPr>
              <w:t xml:space="preserve">La docente enuncia: "Hoy vamos a ver 3 modelos que explican esas diferencias. Al final de la clase, van a poder diseñar una actividad que favorezca un estilo específico de aprendizaje."</w:t>
            </w:r>
          </w:p>
        </w:tc>
      </w:tr>
    </w:tbl>
    <w:p>
      <w:pPr>
        <w:spacing w:after="120"/>
      </w:pPr>
    </w:p>
    <w:p>
      <w:pPr>
        <w:spacing w:after="80"/>
      </w:pPr>
      <w:r>
        <w:rPr>
          <w:rFonts w:ascii="Calibri" w:cs="Calibri" w:eastAsia="Calibri" w:hAnsi="Calibri"/>
          <w:i/>
          <w:iCs/>
          <w:color w:val="666666"/>
          <w:sz w:val="22"/>
          <w:szCs w:val="22"/>
        </w:rPr>
        <w:t xml:space="preserve">Materiales: Proyector o pizarrón para el Do Now.</w:t>
      </w:r>
    </w:p>
    <w:p>
      <w:pPr>
        <w:spacing w:after="120"/>
      </w:pPr>
    </w:p>
    <w:p>
      <w:pPr>
        <w:spacing w:after="80" w:before="200"/>
      </w:pPr>
      <w:r>
        <w:rPr>
          <w:rFonts w:ascii="Calibri" w:cs="Calibri" w:eastAsia="Calibri" w:hAnsi="Calibri"/>
          <w:b/>
          <w:bCs/>
          <w:color w:val="4A90D9"/>
          <w:sz w:val="24"/>
          <w:szCs w:val="24"/>
        </w:rPr>
        <w:t xml:space="preserve">Fase 2: Marco conceptual — ¿Qué es un estilo de aprendizaje? (12 min)</w:t>
      </w:r>
    </w:p>
    <w:p>
      <w:pPr>
        <w:spacing w:after="80"/>
      </w:pPr>
      <w:r>
        <w:rPr>
          <w:rFonts w:ascii="Calibri" w:cs="Calibri" w:eastAsia="Calibri" w:hAnsi="Calibri"/>
          <w:i/>
          <w:iCs/>
          <w:sz w:val="22"/>
          <w:szCs w:val="22"/>
        </w:rPr>
        <w:t xml:space="preserve">Objetivo: Construir la definición de estilo de aprendizaje y establecer las distinciones clave (no es capacidad, no es fijo).</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72"/>
      </w:tblGrid>
      <w:tr>
        <w:tc>
          <w:tcPr>
            <w:tcW w:type="dxa" w:w="1800"/>
            <w:shd w:fill="1E3A5F" w:val="clear"/>
          </w:tcPr>
          <w:p>
            <w:r>
              <w:rPr>
                <w:rFonts w:ascii="Calibri" w:cs="Calibri" w:eastAsia="Calibri" w:hAnsi="Calibri"/>
                <w:b/>
                <w:bCs/>
                <w:color w:val="FFFFFF"/>
                <w:sz w:val="22"/>
                <w:szCs w:val="22"/>
              </w:rPr>
              <w:t xml:space="preserve">Tiempo</w:t>
            </w:r>
          </w:p>
        </w:tc>
        <w:tc>
          <w:tcPr>
            <w:tcW w:type="dxa" w:w="2200"/>
            <w:shd w:fill="1E3A5F" w:val="clear"/>
          </w:tcPr>
          <w:p>
            <w:r>
              <w:rPr>
                <w:rFonts w:ascii="Calibri" w:cs="Calibri" w:eastAsia="Calibri" w:hAnsi="Calibri"/>
                <w:b/>
                <w:bCs/>
                <w:color w:val="FFFFFF"/>
                <w:sz w:val="22"/>
                <w:szCs w:val="22"/>
              </w:rPr>
              <w:t xml:space="preserve">Actividad</w:t>
            </w:r>
          </w:p>
        </w:tc>
        <w:tc>
          <w:tcPr>
            <w:tcW w:type="dxa" w:w="5072"/>
            <w:shd w:fill="1E3A5F" w:val="clear"/>
          </w:tcPr>
          <w:p>
            <w:r>
              <w:rPr>
                <w:rFonts w:ascii="Calibri" w:cs="Calibri" w:eastAsia="Calibri" w:hAnsi="Calibri"/>
                <w:b/>
                <w:bCs/>
                <w:color w:val="FFFFFF"/>
                <w:sz w:val="22"/>
                <w:szCs w:val="22"/>
              </w:rPr>
              <w:t xml:space="preserve">Descripción</w:t>
            </w:r>
          </w:p>
        </w:tc>
      </w:tr>
      <w:tr>
        <w:tc>
          <w:tcPr>
            <w:tcW w:type="dxa" w:w="1800"/>
          </w:tcPr>
          <w:p>
            <w:pPr>
              <w:spacing w:after="40"/>
            </w:pPr>
            <w:r>
              <w:rPr>
                <w:rFonts w:ascii="Calibri" w:cs="Calibri" w:eastAsia="Calibri" w:hAnsi="Calibri"/>
                <w:b/>
                <w:bCs/>
                <w:sz w:val="22"/>
                <w:szCs w:val="22"/>
              </w:rPr>
              <w:t xml:space="preserve">10-14 min</w:t>
            </w:r>
          </w:p>
        </w:tc>
        <w:tc>
          <w:tcPr>
            <w:tcW w:type="dxa" w:w="2200"/>
          </w:tcPr>
          <w:p>
            <w:pPr>
              <w:spacing w:after="40"/>
            </w:pPr>
            <w:r>
              <w:rPr>
                <w:rFonts w:ascii="Calibri" w:cs="Calibri" w:eastAsia="Calibri" w:hAnsi="Calibri"/>
                <w:b/>
                <w:bCs/>
                <w:sz w:val="22"/>
                <w:szCs w:val="22"/>
              </w:rPr>
              <w:t xml:space="preserve">Definición y origen</w:t>
            </w:r>
          </w:p>
        </w:tc>
        <w:tc>
          <w:tcPr>
            <w:tcW w:type="dxa" w:w="5072"/>
          </w:tcPr>
          <w:p>
            <w:pPr>
              <w:spacing w:after="40"/>
            </w:pPr>
            <w:r>
              <w:rPr>
                <w:rFonts w:ascii="Calibri" w:cs="Calibri" w:eastAsia="Calibri" w:hAnsi="Calibri"/>
                <w:sz w:val="22"/>
                <w:szCs w:val="22"/>
              </w:rPr>
              <w:t xml:space="preserve">Desarrollo conceptual (exposición dialogada):
• Definición: conjunto de preferencias, tendencias y disposiciones que caracterizan la forma en que una persona percibe, procesa, almacena y recupera información.
• Origen: Witkin (1954), Kolb (1984), Dunn y Dunn (1978).
• Conexión con lo visto: IM de Gardner, modelos de Bruner (enactivo/icónico/simbólico), ZDP de Vygotski.</w:t>
            </w:r>
          </w:p>
        </w:tc>
      </w:tr>
      <w:tr>
        <w:tc>
          <w:tcPr>
            <w:tcW w:type="dxa" w:w="1800"/>
            <w:shd w:fill="E8F0FE" w:val="clear"/>
          </w:tcPr>
          <w:p>
            <w:pPr>
              <w:spacing w:after="40"/>
            </w:pPr>
            <w:r>
              <w:rPr>
                <w:rFonts w:ascii="Calibri" w:cs="Calibri" w:eastAsia="Calibri" w:hAnsi="Calibri"/>
                <w:b/>
                <w:bCs/>
                <w:sz w:val="22"/>
                <w:szCs w:val="22"/>
              </w:rPr>
              <w:t xml:space="preserve">14-18 min</w:t>
            </w:r>
          </w:p>
        </w:tc>
        <w:tc>
          <w:tcPr>
            <w:tcW w:type="dxa" w:w="2200"/>
            <w:shd w:fill="E8F0FE" w:val="clear"/>
          </w:tcPr>
          <w:p>
            <w:pPr>
              <w:spacing w:after="40"/>
            </w:pPr>
            <w:r>
              <w:rPr>
                <w:rFonts w:ascii="Calibri" w:cs="Calibri" w:eastAsia="Calibri" w:hAnsi="Calibri"/>
                <w:b/>
                <w:bCs/>
                <w:sz w:val="22"/>
                <w:szCs w:val="22"/>
              </w:rPr>
              <w:t xml:space="preserve">Distinciones clave</w:t>
            </w:r>
          </w:p>
        </w:tc>
        <w:tc>
          <w:tcPr>
            <w:tcW w:type="dxa" w:w="5072"/>
            <w:shd w:fill="E8F0FE" w:val="clear"/>
          </w:tcPr>
          <w:p>
            <w:pPr>
              <w:spacing w:after="40"/>
            </w:pPr>
            <w:r>
              <w:rPr>
                <w:rFonts w:ascii="Calibri" w:cs="Calibri" w:eastAsia="Calibri" w:hAnsi="Calibri"/>
                <w:sz w:val="22"/>
                <w:szCs w:val="22"/>
              </w:rPr>
              <w:t xml:space="preserve">Dos aclaraciones con ejemplos del jardín:
1. No es sinónimo de capacidad: "Tener estilo visual no es ser más inteligente que tener estilo kinestésico. Son modos de procesar, no niveles de rendimiento."
2. No es un rasgo fijo: "Los estilos pueden cambiar con la experiencia, la educación y el contexto. Son tendencias, no destinos."
Ejemplo: un niño que "se inquieta" hoy puede ser un adulto que aprende mejor en reuniones de pie.</w:t>
            </w:r>
          </w:p>
        </w:tc>
      </w:tr>
      <w:tr>
        <w:tc>
          <w:tcPr>
            <w:tcW w:type="dxa" w:w="1800"/>
          </w:tcPr>
          <w:p>
            <w:pPr>
              <w:spacing w:after="40"/>
            </w:pPr>
            <w:r>
              <w:rPr>
                <w:rFonts w:ascii="Calibri" w:cs="Calibri" w:eastAsia="Calibri" w:hAnsi="Calibri"/>
                <w:b/>
                <w:bCs/>
                <w:sz w:val="22"/>
                <w:szCs w:val="22"/>
              </w:rPr>
              <w:t xml:space="preserve">18-22 min</w:t>
            </w:r>
          </w:p>
        </w:tc>
        <w:tc>
          <w:tcPr>
            <w:tcW w:type="dxa" w:w="2200"/>
          </w:tcPr>
          <w:p>
            <w:pPr>
              <w:spacing w:after="40"/>
            </w:pPr>
            <w:r>
              <w:rPr>
                <w:rFonts w:ascii="Calibri" w:cs="Calibri" w:eastAsia="Calibri" w:hAnsi="Calibri"/>
                <w:b/>
                <w:bCs/>
                <w:color w:val="4A90D9"/>
                <w:sz w:val="22"/>
                <w:szCs w:val="22"/>
              </w:rPr>
              <w:t xml:space="preserve">EVALUACIÓN FORMATIVA: Hinge question</w:t>
            </w:r>
          </w:p>
        </w:tc>
        <w:tc>
          <w:tcPr>
            <w:tcW w:type="dxa" w:w="5072"/>
          </w:tcPr>
          <w:p>
            <w:pPr>
              <w:spacing w:after="40"/>
            </w:pPr>
            <w:r>
              <w:rPr>
                <w:rFonts w:ascii="Calibri" w:cs="Calibri" w:eastAsia="Calibri" w:hAnsi="Calibri"/>
                <w:sz w:val="22"/>
                <w:szCs w:val="22"/>
              </w:rPr>
              <w:t xml:space="preserve">Voto con dedos — la docente lee:
"Antes de ver los modelos, necesito verificar algo. Piensen y no hablen:
¿Un estilo de aprendizaje es...?
1. Una capacidad fija con la que se nace
2. Una tendencia que puede cambiar con la experiencia
3. Un diagnóstico definitivo de cómo aprende cada persona
4. Lo mismo que inteligencia múltiple
Cuento: 1, 2, 3... muestren."
Interpretación:
• 80%+ elige opción 2 → Avanzar a los modelos
• 50-80% → Breve re-teach: "Repitan conmigo: tendencia, no capacidad"
• &lt;50% → Volver a la definición con otro ejemplo</w:t>
            </w:r>
          </w:p>
        </w:tc>
      </w:tr>
    </w:tbl>
    <w:p>
      <w:pPr>
        <w:spacing w:after="120"/>
      </w:pPr>
    </w:p>
    <w:p>
      <w:pPr>
        <w:spacing w:after="80"/>
      </w:pPr>
      <w:r>
        <w:rPr>
          <w:rFonts w:ascii="Calibri" w:cs="Calibri" w:eastAsia="Calibri" w:hAnsi="Calibri"/>
          <w:i/>
          <w:iCs/>
          <w:color w:val="666666"/>
          <w:sz w:val="22"/>
          <w:szCs w:val="22"/>
        </w:rPr>
        <w:t xml:space="preserve">Materiales: Diapositivas 1-2 del PPT (definición, conexión con teorías previas).</w:t>
      </w:r>
    </w:p>
    <w:p>
      <w:pPr>
        <w:spacing w:after="120"/>
      </w:pPr>
    </w:p>
    <w:p>
      <w:pPr>
        <w:spacing w:after="80" w:before="200"/>
      </w:pPr>
      <w:r>
        <w:rPr>
          <w:rFonts w:ascii="Calibri" w:cs="Calibri" w:eastAsia="Calibri" w:hAnsi="Calibri"/>
          <w:b/>
          <w:bCs/>
          <w:color w:val="4A90D9"/>
          <w:sz w:val="24"/>
          <w:szCs w:val="24"/>
        </w:rPr>
        <w:t xml:space="preserve">Fase 3: Los tres modelos — Estaciones de aprendizaje (30 min)</w:t>
      </w:r>
    </w:p>
    <w:p>
      <w:pPr>
        <w:spacing w:after="80"/>
      </w:pPr>
      <w:r>
        <w:rPr>
          <w:rFonts w:ascii="Calibri" w:cs="Calibri" w:eastAsia="Calibri" w:hAnsi="Calibri"/>
          <w:i/>
          <w:iCs/>
          <w:sz w:val="22"/>
          <w:szCs w:val="22"/>
        </w:rPr>
        <w:t xml:space="preserve">Objetivo: Profundizar en cada modelo a través de estaciones activas, donde las estudiantes leen, producen y enseñan.</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72"/>
      </w:tblGrid>
      <w:tr>
        <w:tc>
          <w:tcPr>
            <w:tcW w:type="dxa" w:w="1800"/>
            <w:shd w:fill="1E3A5F" w:val="clear"/>
          </w:tcPr>
          <w:p>
            <w:r>
              <w:rPr>
                <w:rFonts w:ascii="Calibri" w:cs="Calibri" w:eastAsia="Calibri" w:hAnsi="Calibri"/>
                <w:b/>
                <w:bCs/>
                <w:color w:val="FFFFFF"/>
                <w:sz w:val="22"/>
                <w:szCs w:val="22"/>
              </w:rPr>
              <w:t xml:space="preserve">Tiempo</w:t>
            </w:r>
          </w:p>
        </w:tc>
        <w:tc>
          <w:tcPr>
            <w:tcW w:type="dxa" w:w="2200"/>
            <w:shd w:fill="1E3A5F" w:val="clear"/>
          </w:tcPr>
          <w:p>
            <w:r>
              <w:rPr>
                <w:rFonts w:ascii="Calibri" w:cs="Calibri" w:eastAsia="Calibri" w:hAnsi="Calibri"/>
                <w:b/>
                <w:bCs/>
                <w:color w:val="FFFFFF"/>
                <w:sz w:val="22"/>
                <w:szCs w:val="22"/>
              </w:rPr>
              <w:t xml:space="preserve">Actividad</w:t>
            </w:r>
          </w:p>
        </w:tc>
        <w:tc>
          <w:tcPr>
            <w:tcW w:type="dxa" w:w="5072"/>
            <w:shd w:fill="1E3A5F" w:val="clear"/>
          </w:tcPr>
          <w:p>
            <w:r>
              <w:rPr>
                <w:rFonts w:ascii="Calibri" w:cs="Calibri" w:eastAsia="Calibri" w:hAnsi="Calibri"/>
                <w:b/>
                <w:bCs/>
                <w:color w:val="FFFFFF"/>
                <w:sz w:val="22"/>
                <w:szCs w:val="22"/>
              </w:rPr>
              <w:t xml:space="preserve">Descripción</w:t>
            </w:r>
          </w:p>
        </w:tc>
      </w:tr>
      <w:tr>
        <w:tc>
          <w:tcPr>
            <w:tcW w:type="dxa" w:w="1800"/>
          </w:tcPr>
          <w:p>
            <w:pPr>
              <w:spacing w:after="40"/>
            </w:pPr>
            <w:r>
              <w:rPr>
                <w:rFonts w:ascii="Calibri" w:cs="Calibri" w:eastAsia="Calibri" w:hAnsi="Calibri"/>
                <w:b/>
                <w:bCs/>
                <w:sz w:val="22"/>
                <w:szCs w:val="22"/>
              </w:rPr>
              <w:t xml:space="preserve">22-25 min</w:t>
            </w:r>
          </w:p>
        </w:tc>
        <w:tc>
          <w:tcPr>
            <w:tcW w:type="dxa" w:w="2200"/>
          </w:tcPr>
          <w:p>
            <w:pPr>
              <w:spacing w:after="40"/>
            </w:pPr>
            <w:r>
              <w:rPr>
                <w:rFonts w:ascii="Calibri" w:cs="Calibri" w:eastAsia="Calibri" w:hAnsi="Calibri"/>
                <w:b/>
                <w:bCs/>
                <w:sz w:val="22"/>
                <w:szCs w:val="22"/>
              </w:rPr>
              <w:t xml:space="preserve">Intro rápida de los 3 modelos</w:t>
            </w:r>
          </w:p>
        </w:tc>
        <w:tc>
          <w:tcPr>
            <w:tcW w:type="dxa" w:w="5072"/>
          </w:tcPr>
          <w:p>
            <w:pPr>
              <w:spacing w:after="40"/>
            </w:pPr>
            <w:r>
              <w:rPr>
                <w:rFonts w:ascii="Calibri" w:cs="Calibri" w:eastAsia="Calibri" w:hAnsi="Calibri"/>
                <w:sz w:val="22"/>
                <w:szCs w:val="22"/>
              </w:rPr>
              <w:t xml:space="preserve">La docente presenta en 1 minuto cada modelo (solo qué son, no los detalles):
• Kolb: ciclo de aprendizaje experiencial (4 etapas, 4 estilos)
• VAK: canal sensorial predominante (visual, auditivo, kinestésico)
• Honey-Alonso (CHAEA): adaptación hispanohablante de Kolb (activo, reflexivo, teórico, pragmático)</w:t>
            </w:r>
          </w:p>
        </w:tc>
      </w:tr>
      <w:tr>
        <w:tc>
          <w:tcPr>
            <w:tcW w:type="dxa" w:w="1800"/>
            <w:shd w:fill="E8F0FE" w:val="clear"/>
          </w:tcPr>
          <w:p>
            <w:pPr>
              <w:spacing w:after="40"/>
            </w:pPr>
            <w:r>
              <w:rPr>
                <w:rFonts w:ascii="Calibri" w:cs="Calibri" w:eastAsia="Calibri" w:hAnsi="Calibri"/>
                <w:b/>
                <w:bCs/>
                <w:sz w:val="22"/>
                <w:szCs w:val="22"/>
              </w:rPr>
              <w:t xml:space="preserve">25-32 min</w:t>
            </w:r>
          </w:p>
        </w:tc>
        <w:tc>
          <w:tcPr>
            <w:tcW w:type="dxa" w:w="2200"/>
            <w:shd w:fill="E8F0FE" w:val="clear"/>
          </w:tcPr>
          <w:p>
            <w:pPr>
              <w:spacing w:after="40"/>
            </w:pPr>
            <w:r>
              <w:rPr>
                <w:rFonts w:ascii="Calibri" w:cs="Calibri" w:eastAsia="Calibri" w:hAnsi="Calibri"/>
                <w:b/>
                <w:bCs/>
                <w:sz w:val="22"/>
                <w:szCs w:val="22"/>
              </w:rPr>
              <w:t xml:space="preserve">Estación Kolb (7 min)</w:t>
            </w:r>
          </w:p>
        </w:tc>
        <w:tc>
          <w:tcPr>
            <w:tcW w:type="dxa" w:w="5072"/>
            <w:shd w:fill="E8F0FE" w:val="clear"/>
          </w:tcPr>
          <w:p>
            <w:pPr>
              <w:spacing w:after="40"/>
            </w:pPr>
            <w:r>
              <w:rPr>
                <w:rFonts w:ascii="Calibri" w:cs="Calibri" w:eastAsia="Calibri" w:hAnsi="Calibri"/>
                <w:sz w:val="22"/>
                <w:szCs w:val="22"/>
              </w:rPr>
              <w:t xml:space="preserve">Grupo A — Material: resumen de la sección 2 del material de lectura + papelógrafo.
Tarea:
1. Leer la sección "El modelo experiencial de Kolb" y "Los cuatro estilos resultantes"
2. Dibujar el ciclo de Kolb (EC → OR → CA → EA) en el papelógrafo
3. Completar: "Según el ciclo, ¿en qué etapa soy más fuerte yo? ¿Y mi compañero/a?"
4. Preparar una síntesis de 30 segundos para presentar al grupo</w:t>
            </w:r>
          </w:p>
        </w:tc>
      </w:tr>
      <w:tr>
        <w:tc>
          <w:tcPr>
            <w:tcW w:type="dxa" w:w="1800"/>
          </w:tcPr>
          <w:p>
            <w:pPr>
              <w:spacing w:after="40"/>
            </w:pPr>
            <w:r>
              <w:rPr>
                <w:rFonts w:ascii="Calibri" w:cs="Calibri" w:eastAsia="Calibri" w:hAnsi="Calibri"/>
                <w:b/>
                <w:bCs/>
                <w:sz w:val="22"/>
                <w:szCs w:val="22"/>
              </w:rPr>
              <w:t xml:space="preserve">32-39 min</w:t>
            </w:r>
          </w:p>
        </w:tc>
        <w:tc>
          <w:tcPr>
            <w:tcW w:type="dxa" w:w="2200"/>
          </w:tcPr>
          <w:p>
            <w:pPr>
              <w:spacing w:after="40"/>
            </w:pPr>
            <w:r>
              <w:rPr>
                <w:rFonts w:ascii="Calibri" w:cs="Calibri" w:eastAsia="Calibri" w:hAnsi="Calibri"/>
                <w:b/>
                <w:bCs/>
                <w:sz w:val="22"/>
                <w:szCs w:val="22"/>
              </w:rPr>
              <w:t xml:space="preserve">Estación VAK (7 min)</w:t>
            </w:r>
          </w:p>
        </w:tc>
        <w:tc>
          <w:tcPr>
            <w:tcW w:type="dxa" w:w="5072"/>
          </w:tcPr>
          <w:p>
            <w:pPr>
              <w:spacing w:after="40"/>
            </w:pPr>
            <w:r>
              <w:rPr>
                <w:rFonts w:ascii="Calibri" w:cs="Calibri" w:eastAsia="Calibri" w:hAnsi="Calibri"/>
                <w:sz w:val="22"/>
                <w:szCs w:val="22"/>
              </w:rPr>
              <w:t xml:space="preserve">Grupo B — Material: tarjetas con situaciones de jardín (ver Tarjetas de Estaciones).
Tarea:
1. Leer la sección "El modelo VAK" del material de lectura
2. Recibir 6 tarjetas con situaciones del jardín de infantes
3. Clasificar cada situación: ¿visual, auditivo o kinestésico?
4. Preparar una síntesis de 30 segundos</w:t>
            </w:r>
          </w:p>
        </w:tc>
      </w:tr>
      <w:tr>
        <w:tc>
          <w:tcPr>
            <w:tcW w:type="dxa" w:w="1800"/>
            <w:shd w:fill="E8F0FE" w:val="clear"/>
          </w:tcPr>
          <w:p>
            <w:pPr>
              <w:spacing w:after="40"/>
            </w:pPr>
            <w:r>
              <w:rPr>
                <w:rFonts w:ascii="Calibri" w:cs="Calibri" w:eastAsia="Calibri" w:hAnsi="Calibri"/>
                <w:b/>
                <w:bCs/>
                <w:sz w:val="22"/>
                <w:szCs w:val="22"/>
              </w:rPr>
              <w:t xml:space="preserve">39-46 min</w:t>
            </w:r>
          </w:p>
        </w:tc>
        <w:tc>
          <w:tcPr>
            <w:tcW w:type="dxa" w:w="2200"/>
            <w:shd w:fill="E8F0FE" w:val="clear"/>
          </w:tcPr>
          <w:p>
            <w:pPr>
              <w:spacing w:after="40"/>
            </w:pPr>
            <w:r>
              <w:rPr>
                <w:rFonts w:ascii="Calibri" w:cs="Calibri" w:eastAsia="Calibri" w:hAnsi="Calibri"/>
                <w:b/>
                <w:bCs/>
                <w:sz w:val="22"/>
                <w:szCs w:val="22"/>
              </w:rPr>
              <w:t xml:space="preserve">Estación CHAEA (7 min)</w:t>
            </w:r>
          </w:p>
        </w:tc>
        <w:tc>
          <w:tcPr>
            <w:tcW w:type="dxa" w:w="5072"/>
            <w:shd w:fill="E8F0FE" w:val="clear"/>
          </w:tcPr>
          <w:p>
            <w:pPr>
              <w:spacing w:after="40"/>
            </w:pPr>
            <w:r>
              <w:rPr>
                <w:rFonts w:ascii="Calibri" w:cs="Calibri" w:eastAsia="Calibri" w:hAnsi="Calibri"/>
                <w:sz w:val="22"/>
                <w:szCs w:val="22"/>
              </w:rPr>
              <w:t xml:space="preserve">Grupo C — Material: resumen de la sección 4 del material + mini-inventario CHAEA.
Tarea:
1. Leer la sección "El modelo de Honey y Alonso"
2. Completar el mini-inventario CHAEA adaptado (8 preguntas, ver Tarjetas)
3. Identificar su perfil: ¿activo, reflexivo, teórico o pragmático?
4. Preparar una síntesis de 30 segundos</w:t>
            </w:r>
          </w:p>
        </w:tc>
      </w:tr>
      <w:tr>
        <w:tc>
          <w:tcPr>
            <w:tcW w:type="dxa" w:w="1800"/>
          </w:tcPr>
          <w:p>
            <w:pPr>
              <w:spacing w:after="40"/>
            </w:pPr>
            <w:r>
              <w:rPr>
                <w:rFonts w:ascii="Calibri" w:cs="Calibri" w:eastAsia="Calibri" w:hAnsi="Calibri"/>
                <w:b/>
                <w:bCs/>
                <w:sz w:val="22"/>
                <w:szCs w:val="22"/>
              </w:rPr>
              <w:t xml:space="preserve">46-52 min</w:t>
            </w:r>
          </w:p>
        </w:tc>
        <w:tc>
          <w:tcPr>
            <w:tcW w:type="dxa" w:w="2200"/>
          </w:tcPr>
          <w:p>
            <w:pPr>
              <w:spacing w:after="40"/>
            </w:pPr>
            <w:r>
              <w:rPr>
                <w:rFonts w:ascii="Calibri" w:cs="Calibri" w:eastAsia="Calibri" w:hAnsi="Calibri"/>
                <w:b/>
                <w:bCs/>
                <w:sz w:val="22"/>
                <w:szCs w:val="22"/>
              </w:rPr>
              <w:t xml:space="preserve">Síntesis y rotación (6 min)</w:t>
            </w:r>
          </w:p>
        </w:tc>
        <w:tc>
          <w:tcPr>
            <w:tcW w:type="dxa" w:w="5072"/>
          </w:tcPr>
          <w:p>
            <w:pPr>
              <w:spacing w:after="40"/>
            </w:pPr>
            <w:r>
              <w:rPr>
                <w:rFonts w:ascii="Calibri" w:cs="Calibri" w:eastAsia="Calibri" w:hAnsi="Calibri"/>
                <w:sz w:val="22"/>
                <w:szCs w:val="22"/>
              </w:rPr>
              <w:t xml:space="preserve">Cada grupo presenta su modelo en 30 segundos (usando el papelógrafo o el pizarrón).
La docente va completando un cuadro comparativo en el pizarrón:
Modelo | Autor | Ciclo/Base | Estilos | Fortaleza principal</w:t>
            </w:r>
          </w:p>
        </w:tc>
      </w:tr>
      <w:tr>
        <w:tc>
          <w:tcPr>
            <w:tcW w:type="dxa" w:w="1800"/>
            <w:shd w:fill="E8F0FE" w:val="clear"/>
          </w:tcPr>
          <w:p>
            <w:pPr>
              <w:spacing w:after="40"/>
            </w:pPr>
            <w:r>
              <w:rPr>
                <w:rFonts w:ascii="Calibri" w:cs="Calibri" w:eastAsia="Calibri" w:hAnsi="Calibri"/>
                <w:b/>
                <w:bCs/>
                <w:sz w:val="22"/>
                <w:szCs w:val="22"/>
              </w:rPr>
              <w:t xml:space="preserve">52 min</w:t>
            </w:r>
          </w:p>
        </w:tc>
        <w:tc>
          <w:tcPr>
            <w:tcW w:type="dxa" w:w="2200"/>
            <w:shd w:fill="E8F0FE" w:val="clear"/>
          </w:tcPr>
          <w:p>
            <w:pPr>
              <w:spacing w:after="40"/>
            </w:pPr>
            <w:r>
              <w:rPr>
                <w:rFonts w:ascii="Calibri" w:cs="Calibri" w:eastAsia="Calibri" w:hAnsi="Calibri"/>
                <w:b/>
                <w:bCs/>
                <w:sz w:val="22"/>
                <w:szCs w:val="22"/>
              </w:rPr>
              <w:t xml:space="preserve">Integración</w:t>
            </w:r>
          </w:p>
        </w:tc>
        <w:tc>
          <w:tcPr>
            <w:tcW w:type="dxa" w:w="5072"/>
            <w:shd w:fill="E8F0FE" w:val="clear"/>
          </w:tcPr>
          <w:p>
            <w:pPr>
              <w:spacing w:after="40"/>
            </w:pPr>
            <w:r>
              <w:rPr>
                <w:rFonts w:ascii="Calibri" w:cs="Calibri" w:eastAsia="Calibri" w:hAnsi="Calibri"/>
                <w:sz w:val="22"/>
                <w:szCs w:val="22"/>
              </w:rPr>
              <w:t xml:space="preserve">La docente cierra: "Los 3 modelos se superponen. Un visual también puede ser reflexivo. Un pragmático puede ser activo. Son lentes distintos para ver la misma diversidad. La clave no es etiquetar, sino ampliar la mirada."
Diapositiva 7 del PPT.</w:t>
            </w:r>
          </w:p>
        </w:tc>
      </w:tr>
    </w:tbl>
    <w:p>
      <w:pPr>
        <w:spacing w:after="120"/>
      </w:pPr>
    </w:p>
    <w:p>
      <w:pPr>
        <w:spacing w:after="80"/>
      </w:pPr>
      <w:r>
        <w:rPr>
          <w:rFonts w:ascii="Calibri" w:cs="Calibri" w:eastAsia="Calibri" w:hAnsi="Calibri"/>
          <w:i/>
          <w:iCs/>
          <w:color w:val="666666"/>
          <w:sz w:val="22"/>
          <w:szCs w:val="22"/>
        </w:rPr>
        <w:t xml:space="preserve">Materiales: Material de lectura (Secciones 2, 4), papelógrafo por grupo, tarjetas de situaciones (VAK), mini-inventario CHAEA, PPT diapositivas 3-7.</w:t>
      </w:r>
    </w:p>
    <w:p>
      <w:pPr>
        <w:spacing w:after="120"/>
      </w:pPr>
    </w:p>
    <w:p>
      <w:pPr>
        <w:spacing w:after="80" w:before="200"/>
      </w:pPr>
      <w:r>
        <w:rPr>
          <w:rFonts w:ascii="Calibri" w:cs="Calibri" w:eastAsia="Calibri" w:hAnsi="Calibri"/>
          <w:b/>
          <w:bCs/>
          <w:color w:val="4A90D9"/>
          <w:sz w:val="24"/>
          <w:szCs w:val="24"/>
        </w:rPr>
        <w:t xml:space="preserve">Fase 4: Debate crítico — El dilema de los estilos (25 min)</w:t>
      </w:r>
    </w:p>
    <w:p>
      <w:pPr>
        <w:spacing w:after="80"/>
      </w:pPr>
      <w:r>
        <w:rPr>
          <w:rFonts w:ascii="Calibri" w:cs="Calibri" w:eastAsia="Calibri" w:hAnsi="Calibri"/>
          <w:i/>
          <w:iCs/>
          <w:sz w:val="22"/>
          <w:szCs w:val="22"/>
        </w:rPr>
        <w:t xml:space="preserve">Objetivo: Analizar críticamente el enfoque de estilos, considerando sus límites y posibles riesgos para la práctica docente.</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72"/>
      </w:tblGrid>
      <w:tr>
        <w:tc>
          <w:tcPr>
            <w:tcW w:type="dxa" w:w="1800"/>
            <w:shd w:fill="1E3A5F" w:val="clear"/>
          </w:tcPr>
          <w:p>
            <w:r>
              <w:rPr>
                <w:rFonts w:ascii="Calibri" w:cs="Calibri" w:eastAsia="Calibri" w:hAnsi="Calibri"/>
                <w:b/>
                <w:bCs/>
                <w:color w:val="FFFFFF"/>
                <w:sz w:val="22"/>
                <w:szCs w:val="22"/>
              </w:rPr>
              <w:t xml:space="preserve">Tiempo</w:t>
            </w:r>
          </w:p>
        </w:tc>
        <w:tc>
          <w:tcPr>
            <w:tcW w:type="dxa" w:w="2200"/>
            <w:shd w:fill="1E3A5F" w:val="clear"/>
          </w:tcPr>
          <w:p>
            <w:r>
              <w:rPr>
                <w:rFonts w:ascii="Calibri" w:cs="Calibri" w:eastAsia="Calibri" w:hAnsi="Calibri"/>
                <w:b/>
                <w:bCs/>
                <w:color w:val="FFFFFF"/>
                <w:sz w:val="22"/>
                <w:szCs w:val="22"/>
              </w:rPr>
              <w:t xml:space="preserve">Actividad</w:t>
            </w:r>
          </w:p>
        </w:tc>
        <w:tc>
          <w:tcPr>
            <w:tcW w:type="dxa" w:w="5072"/>
            <w:shd w:fill="1E3A5F" w:val="clear"/>
          </w:tcPr>
          <w:p>
            <w:r>
              <w:rPr>
                <w:rFonts w:ascii="Calibri" w:cs="Calibri" w:eastAsia="Calibri" w:hAnsi="Calibri"/>
                <w:b/>
                <w:bCs/>
                <w:color w:val="FFFFFF"/>
                <w:sz w:val="22"/>
                <w:szCs w:val="22"/>
              </w:rPr>
              <w:t xml:space="preserve">Descripción</w:t>
            </w:r>
          </w:p>
        </w:tc>
      </w:tr>
      <w:tr>
        <w:tc>
          <w:tcPr>
            <w:tcW w:type="dxa" w:w="1800"/>
          </w:tcPr>
          <w:p>
            <w:pPr>
              <w:spacing w:after="40"/>
            </w:pPr>
            <w:r>
              <w:rPr>
                <w:rFonts w:ascii="Calibri" w:cs="Calibri" w:eastAsia="Calibri" w:hAnsi="Calibri"/>
                <w:b/>
                <w:bCs/>
                <w:sz w:val="22"/>
                <w:szCs w:val="22"/>
              </w:rPr>
              <w:t xml:space="preserve">52-54 min</w:t>
            </w:r>
          </w:p>
        </w:tc>
        <w:tc>
          <w:tcPr>
            <w:tcW w:type="dxa" w:w="2200"/>
          </w:tcPr>
          <w:p>
            <w:pPr>
              <w:spacing w:after="40"/>
            </w:pPr>
            <w:r>
              <w:rPr>
                <w:rFonts w:ascii="Calibri" w:cs="Calibri" w:eastAsia="Calibri" w:hAnsi="Calibri"/>
                <w:b/>
                <w:bCs/>
                <w:sz w:val="22"/>
                <w:szCs w:val="22"/>
              </w:rPr>
              <w:t xml:space="preserve">Planteo del dilema</w:t>
            </w:r>
          </w:p>
        </w:tc>
        <w:tc>
          <w:tcPr>
            <w:tcW w:type="dxa" w:w="5072"/>
          </w:tcPr>
          <w:p>
            <w:pPr>
              <w:spacing w:after="40"/>
            </w:pPr>
            <w:r>
              <w:rPr>
                <w:rFonts w:ascii="Calibri" w:cs="Calibri" w:eastAsia="Calibri" w:hAnsi="Calibri"/>
                <w:sz w:val="22"/>
                <w:szCs w:val="22"/>
              </w:rPr>
              <w:t xml:space="preserve">La docente lee: "Pashler et al. (2008) publicaron un meta-análisis que cuestiona que enseñar 'al estilo' de cada alumno mejore los resultados de aprendizaje. ¿Estamos perdiendo el tiempo con los estilos? ¿O sirven para algo?"
Presenta las dos preguntas del debate:
• ¿Es posible diseñar para un solo estilo? ¿Es deseable?
• ¿Qué pasa cuando el estilo del docente no coincide con el del alumno?</w:t>
            </w:r>
          </w:p>
        </w:tc>
      </w:tr>
      <w:tr>
        <w:tc>
          <w:tcPr>
            <w:tcW w:type="dxa" w:w="1800"/>
            <w:shd w:fill="E8F0FE" w:val="clear"/>
          </w:tcPr>
          <w:p>
            <w:pPr>
              <w:spacing w:after="40"/>
            </w:pPr>
            <w:r>
              <w:rPr>
                <w:rFonts w:ascii="Calibri" w:cs="Calibri" w:eastAsia="Calibri" w:hAnsi="Calibri"/>
                <w:b/>
                <w:bCs/>
                <w:sz w:val="22"/>
                <w:szCs w:val="22"/>
              </w:rPr>
              <w:t xml:space="preserve">54-60 min</w:t>
            </w:r>
          </w:p>
        </w:tc>
        <w:tc>
          <w:tcPr>
            <w:tcW w:type="dxa" w:w="2200"/>
            <w:shd w:fill="E8F0FE" w:val="clear"/>
          </w:tcPr>
          <w:p>
            <w:pPr>
              <w:spacing w:after="40"/>
            </w:pPr>
            <w:r>
              <w:rPr>
                <w:rFonts w:ascii="Calibri" w:cs="Calibri" w:eastAsia="Calibri" w:hAnsi="Calibri"/>
                <w:b/>
                <w:bCs/>
                <w:sz w:val="22"/>
                <w:szCs w:val="22"/>
              </w:rPr>
              <w:t xml:space="preserve">Preparación de argumentos (6 min)</w:t>
            </w:r>
          </w:p>
        </w:tc>
        <w:tc>
          <w:tcPr>
            <w:tcW w:type="dxa" w:w="5072"/>
            <w:shd w:fill="E8F0FE" w:val="clear"/>
          </w:tcPr>
          <w:p>
            <w:pPr>
              <w:spacing w:after="40"/>
            </w:pPr>
            <w:r>
              <w:rPr>
                <w:rFonts w:ascii="Calibri" w:cs="Calibri" w:eastAsia="Calibri" w:hAnsi="Calibri"/>
                <w:sz w:val="22"/>
                <w:szCs w:val="22"/>
              </w:rPr>
              <w:t xml:space="preserve">El grupo se divide en dos bandos:
• Bando A: "Los estilos SIRVEN" — preparar 2 argumentos
• Bando B: "Los estilos NO sirven" — preparar 2 argumentos
Cada bando busca argumentos en el material de lectura (sección 5: "Una mirada crítica") y en su propia experiencia.</w:t>
            </w:r>
          </w:p>
        </w:tc>
      </w:tr>
      <w:tr>
        <w:tc>
          <w:tcPr>
            <w:tcW w:type="dxa" w:w="1800"/>
          </w:tcPr>
          <w:p>
            <w:pPr>
              <w:spacing w:after="40"/>
            </w:pPr>
            <w:r>
              <w:rPr>
                <w:rFonts w:ascii="Calibri" w:cs="Calibri" w:eastAsia="Calibri" w:hAnsi="Calibri"/>
                <w:b/>
                <w:bCs/>
                <w:sz w:val="22"/>
                <w:szCs w:val="22"/>
              </w:rPr>
              <w:t xml:space="preserve">60-68 min</w:t>
            </w:r>
          </w:p>
        </w:tc>
        <w:tc>
          <w:tcPr>
            <w:tcW w:type="dxa" w:w="2200"/>
          </w:tcPr>
          <w:p>
            <w:pPr>
              <w:spacing w:after="40"/>
            </w:pPr>
            <w:r>
              <w:rPr>
                <w:rFonts w:ascii="Calibri" w:cs="Calibri" w:eastAsia="Calibri" w:hAnsi="Calibri"/>
                <w:b/>
                <w:bCs/>
                <w:sz w:val="22"/>
                <w:szCs w:val="22"/>
              </w:rPr>
              <w:t xml:space="preserve">Debate argumentado (8 min)</w:t>
            </w:r>
          </w:p>
        </w:tc>
        <w:tc>
          <w:tcPr>
            <w:tcW w:type="dxa" w:w="5072"/>
          </w:tcPr>
          <w:p>
            <w:pPr>
              <w:spacing w:after="40"/>
            </w:pPr>
            <w:r>
              <w:rPr>
                <w:rFonts w:ascii="Calibri" w:cs="Calibri" w:eastAsia="Calibri" w:hAnsi="Calibri"/>
                <w:sz w:val="22"/>
                <w:szCs w:val="22"/>
              </w:rPr>
              <w:t xml:space="preserve">Ronda 1 (4 min): Un representante de cada bando expone sus 2 argumentos (1.5 min c/u).
Ronda 2 (4 min): Réplica — cada bando responde al argumento del otro. La docente modera y hace preguntas puente: "¿Qué pasa cuando el estilo del docente no coincide?" "¿Puede un enfoque de estilos reforzar diferencias en lugar de atenderlas?"</w:t>
            </w:r>
          </w:p>
        </w:tc>
      </w:tr>
      <w:tr>
        <w:tc>
          <w:tcPr>
            <w:tcW w:type="dxa" w:w="1800"/>
            <w:shd w:fill="E8F0FE" w:val="clear"/>
          </w:tcPr>
          <w:p>
            <w:pPr>
              <w:spacing w:after="40"/>
            </w:pPr>
            <w:r>
              <w:rPr>
                <w:rFonts w:ascii="Calibri" w:cs="Calibri" w:eastAsia="Calibri" w:hAnsi="Calibri"/>
                <w:b/>
                <w:bCs/>
                <w:sz w:val="22"/>
                <w:szCs w:val="22"/>
              </w:rPr>
              <w:t xml:space="preserve">68-72 min</w:t>
            </w:r>
          </w:p>
        </w:tc>
        <w:tc>
          <w:tcPr>
            <w:tcW w:type="dxa" w:w="2200"/>
            <w:shd w:fill="E8F0FE" w:val="clear"/>
          </w:tcPr>
          <w:p>
            <w:pPr>
              <w:spacing w:after="40"/>
            </w:pPr>
            <w:r>
              <w:rPr>
                <w:rFonts w:ascii="Calibri" w:cs="Calibri" w:eastAsia="Calibri" w:hAnsi="Calibri"/>
                <w:b/>
                <w:bCs/>
                <w:sz w:val="22"/>
                <w:szCs w:val="22"/>
              </w:rPr>
              <w:t xml:space="preserve">Síntesis docente</w:t>
            </w:r>
          </w:p>
        </w:tc>
        <w:tc>
          <w:tcPr>
            <w:tcW w:type="dxa" w:w="5072"/>
            <w:shd w:fill="E8F0FE" w:val="clear"/>
          </w:tcPr>
          <w:p>
            <w:pPr>
              <w:spacing w:after="40"/>
            </w:pPr>
            <w:r>
              <w:rPr>
                <w:rFonts w:ascii="Calibri" w:cs="Calibri" w:eastAsia="Calibri" w:hAnsi="Calibri"/>
                <w:sz w:val="22"/>
                <w:szCs w:val="22"/>
              </w:rPr>
              <w:t xml:space="preserve">La docente integra ambas posiciones:
"Los estilos son una herramienta de LECTURA pedagógica, no de clasificación. Sirven para:
• Ampliar la mirada sobre los alumnos
• Diversificar las propuestas de enseñanza
• Reflexionar sobre el propio modo de aprender
Pero NO sirven para:
• Etiquetar: 'este niño es kinestésico, punto'
• Confundir estilo con capacidad
• Usarlos para limitar en lugar de ampliar"
Diapositiva 8 del PPT (síntesis).</w:t>
            </w:r>
          </w:p>
        </w:tc>
      </w:tr>
      <w:tr>
        <w:tc>
          <w:tcPr>
            <w:tcW w:type="dxa" w:w="1800"/>
          </w:tcPr>
          <w:p>
            <w:pPr>
              <w:spacing w:after="40"/>
            </w:pPr>
            <w:r>
              <w:rPr>
                <w:rFonts w:ascii="Calibri" w:cs="Calibri" w:eastAsia="Calibri" w:hAnsi="Calibri"/>
                <w:b/>
                <w:bCs/>
                <w:sz w:val="22"/>
                <w:szCs w:val="22"/>
              </w:rPr>
              <w:t xml:space="preserve">72-77 min</w:t>
            </w:r>
          </w:p>
        </w:tc>
        <w:tc>
          <w:tcPr>
            <w:tcW w:type="dxa" w:w="2200"/>
          </w:tcPr>
          <w:p>
            <w:pPr>
              <w:spacing w:after="40"/>
            </w:pPr>
            <w:r>
              <w:rPr>
                <w:rFonts w:ascii="Calibri" w:cs="Calibri" w:eastAsia="Calibri" w:hAnsi="Calibri"/>
                <w:b/>
                <w:bCs/>
                <w:sz w:val="22"/>
                <w:szCs w:val="22"/>
              </w:rPr>
              <w:t xml:space="preserve">Cierre y consigna</w:t>
            </w:r>
          </w:p>
        </w:tc>
        <w:tc>
          <w:tcPr>
            <w:tcW w:type="dxa" w:w="5072"/>
          </w:tcPr>
          <w:p>
            <w:pPr>
              <w:spacing w:after="40"/>
            </w:pPr>
            <w:r>
              <w:rPr>
                <w:rFonts w:ascii="Calibri" w:cs="Calibri" w:eastAsia="Calibri" w:hAnsi="Calibri"/>
                <w:sz w:val="22"/>
                <w:szCs w:val="22"/>
              </w:rPr>
              <w:t xml:space="preserve">La docente proyecta la consigna para la próxima clase:
"¿Alguna vez sentiste que 'no querías' aprender algo aunque sabías que podías? ¿Qué influyó en esa falta de motivación?"
Reflexión escrita de 1/2 carilla. Punto de partida para la Clase 11: Motivación y educabilidad.</w:t>
            </w:r>
          </w:p>
        </w:tc>
      </w:tr>
    </w:tbl>
    <w:p>
      <w:pPr>
        <w:spacing w:after="120"/>
      </w:pPr>
    </w:p>
    <w:p>
      <w:pPr>
        <w:spacing w:after="80"/>
      </w:pPr>
      <w:r>
        <w:rPr>
          <w:rFonts w:ascii="Calibri" w:cs="Calibri" w:eastAsia="Calibri" w:hAnsi="Calibri"/>
          <w:i/>
          <w:iCs/>
          <w:color w:val="666666"/>
          <w:sz w:val="22"/>
          <w:szCs w:val="22"/>
        </w:rPr>
        <w:t xml:space="preserve">Materiales: Diapositiva 8 del PPT, material de lectura (sección 5).</w:t>
      </w:r>
    </w:p>
    <w:p>
      <w:pPr>
        <w:spacing w:after="120"/>
      </w:pPr>
    </w:p>
    <w:p>
      <w:pPr>
        <w:pStyle w:val="Heading1"/>
        <w:spacing w:after="120" w:before="300"/>
      </w:pPr>
      <w:r>
        <w:rPr>
          <w:rFonts w:ascii="Calibri" w:cs="Calibri" w:eastAsia="Calibri" w:hAnsi="Calibri"/>
          <w:b/>
          <w:bCs/>
          <w:color w:val="1E3A5F"/>
        </w:rPr>
        <w:t xml:space="preserve">Materiales necesarios</w:t>
      </w:r>
    </w:p>
    <w:p>
      <w:pPr>
        <w:pStyle w:val="ListParagraph"/>
        <w:numPr>
          <w:ilvl w:val="0"/>
          <w:numId w:val="1"/>
        </w:numPr>
        <w:spacing w:after="60"/>
      </w:pPr>
      <w:r>
        <w:rPr>
          <w:rFonts w:ascii="Calibri" w:cs="Calibri" w:eastAsia="Calibri" w:hAnsi="Calibri"/>
          <w:sz w:val="22"/>
          <w:szCs w:val="22"/>
        </w:rPr>
        <w:t xml:space="preserve">PPT Clase 10 (8 diapositivas)</w:t>
      </w:r>
    </w:p>
    <w:p>
      <w:pPr>
        <w:pStyle w:val="ListParagraph"/>
        <w:numPr>
          <w:ilvl w:val="0"/>
          <w:numId w:val="1"/>
        </w:numPr>
        <w:spacing w:after="60"/>
      </w:pPr>
      <w:r>
        <w:rPr>
          <w:rFonts w:ascii="Calibri" w:cs="Calibri" w:eastAsia="Calibri" w:hAnsi="Calibri"/>
          <w:sz w:val="22"/>
          <w:szCs w:val="22"/>
        </w:rPr>
        <w:t xml:space="preserve">Material de lectura Clase 10 (impreso o digital)</w:t>
      </w:r>
    </w:p>
    <w:p>
      <w:pPr>
        <w:pStyle w:val="ListParagraph"/>
        <w:numPr>
          <w:ilvl w:val="0"/>
          <w:numId w:val="1"/>
        </w:numPr>
        <w:spacing w:after="60"/>
      </w:pPr>
      <w:r>
        <w:rPr>
          <w:rFonts w:ascii="Calibri" w:cs="Calibri" w:eastAsia="Calibri" w:hAnsi="Calibri"/>
          <w:sz w:val="22"/>
          <w:szCs w:val="22"/>
        </w:rPr>
        <w:t xml:space="preserve">Papelógrafo o cartulina por grupo (3 para estaciones)</w:t>
      </w:r>
    </w:p>
    <w:p>
      <w:pPr>
        <w:pStyle w:val="ListParagraph"/>
        <w:numPr>
          <w:ilvl w:val="0"/>
          <w:numId w:val="1"/>
        </w:numPr>
        <w:spacing w:after="60"/>
      </w:pPr>
      <w:r>
        <w:rPr>
          <w:rFonts w:ascii="Calibri" w:cs="Calibri" w:eastAsia="Calibri" w:hAnsi="Calibri"/>
          <w:sz w:val="22"/>
          <w:szCs w:val="22"/>
        </w:rPr>
        <w:t xml:space="preserve">Marcadores de colores</w:t>
      </w:r>
    </w:p>
    <w:p>
      <w:pPr>
        <w:pStyle w:val="ListParagraph"/>
        <w:numPr>
          <w:ilvl w:val="0"/>
          <w:numId w:val="1"/>
        </w:numPr>
        <w:spacing w:after="60"/>
      </w:pPr>
      <w:r>
        <w:rPr>
          <w:rFonts w:ascii="Calibri" w:cs="Calibri" w:eastAsia="Calibri" w:hAnsi="Calibri"/>
          <w:sz w:val="22"/>
          <w:szCs w:val="22"/>
        </w:rPr>
        <w:t xml:space="preserve">Tarjetas de situaciones VAK (ver archivo separado: Tarjetas_Estaciones.docx)</w:t>
      </w:r>
    </w:p>
    <w:p>
      <w:pPr>
        <w:pStyle w:val="ListParagraph"/>
        <w:numPr>
          <w:ilvl w:val="0"/>
          <w:numId w:val="1"/>
        </w:numPr>
        <w:spacing w:after="60"/>
      </w:pPr>
      <w:r>
        <w:rPr>
          <w:rFonts w:ascii="Calibri" w:cs="Calibri" w:eastAsia="Calibri" w:hAnsi="Calibri"/>
          <w:sz w:val="22"/>
          <w:szCs w:val="22"/>
        </w:rPr>
        <w:t xml:space="preserve">Mini-inventario CHAEA adaptado (ver archivo separado: Tarjetas_Estaciones.docx)</w:t>
      </w:r>
    </w:p>
    <w:p>
      <w:pPr>
        <w:pStyle w:val="ListParagraph"/>
        <w:numPr>
          <w:ilvl w:val="0"/>
          <w:numId w:val="1"/>
        </w:numPr>
        <w:spacing w:after="60"/>
      </w:pPr>
      <w:r>
        <w:rPr>
          <w:rFonts w:ascii="Calibri" w:cs="Calibri" w:eastAsia="Calibri" w:hAnsi="Calibri"/>
          <w:sz w:val="22"/>
          <w:szCs w:val="22"/>
        </w:rPr>
        <w:t xml:space="preserve">Proyector</w:t>
      </w:r>
    </w:p>
    <w:p>
      <w:pPr>
        <w:spacing w:after="120"/>
      </w:pPr>
    </w:p>
    <w:p>
      <w:pPr>
        <w:pStyle w:val="Heading1"/>
        <w:spacing w:after="120" w:before="300"/>
      </w:pPr>
      <w:r>
        <w:rPr>
          <w:rFonts w:ascii="Calibri" w:cs="Calibri" w:eastAsia="Calibri" w:hAnsi="Calibri"/>
          <w:b/>
          <w:bCs/>
          <w:color w:val="1E3A5F"/>
        </w:rPr>
        <w:t xml:space="preserve">Evaluación formativa</w:t>
      </w:r>
    </w:p>
    <w:p>
      <w:pPr>
        <w:spacing w:after="80"/>
      </w:pPr>
      <w:r>
        <w:rPr>
          <w:rFonts w:ascii="Calibri" w:cs="Calibri" w:eastAsia="Calibri" w:hAnsi="Calibri"/>
          <w:b/>
          <w:bCs/>
          <w:sz w:val="22"/>
          <w:szCs w:val="22"/>
        </w:rPr>
        <w:t xml:space="preserve">La clase incluye tres momentos de evaluación formativa:</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72"/>
      </w:tblGrid>
      <w:tr>
        <w:tc>
          <w:tcPr>
            <w:tcW w:type="dxa" w:w="2500"/>
            <w:shd w:fill="1E3A5F" w:val="clear"/>
          </w:tcPr>
          <w:p>
            <w:r>
              <w:rPr>
                <w:rFonts w:ascii="Calibri" w:cs="Calibri" w:eastAsia="Calibri" w:hAnsi="Calibri"/>
                <w:b/>
                <w:bCs/>
                <w:color w:val="FFFFFF"/>
                <w:sz w:val="22"/>
                <w:szCs w:val="22"/>
              </w:rPr>
              <w:t xml:space="preserve">Momento</w:t>
            </w:r>
          </w:p>
        </w:tc>
        <w:tc>
          <w:tcPr>
            <w:tcW w:type="dxa" w:w="2500"/>
            <w:shd w:fill="1E3A5F" w:val="clear"/>
          </w:tcPr>
          <w:p>
            <w:r>
              <w:rPr>
                <w:rFonts w:ascii="Calibri" w:cs="Calibri" w:eastAsia="Calibri" w:hAnsi="Calibri"/>
                <w:b/>
                <w:bCs/>
                <w:color w:val="FFFFFF"/>
                <w:sz w:val="22"/>
                <w:szCs w:val="22"/>
              </w:rPr>
              <w:t xml:space="preserve">Técnica</w:t>
            </w:r>
          </w:p>
        </w:tc>
        <w:tc>
          <w:tcPr>
            <w:tcW w:type="dxa" w:w="4072"/>
            <w:shd w:fill="1E3A5F" w:val="clear"/>
          </w:tcPr>
          <w:p>
            <w:r>
              <w:rPr>
                <w:rFonts w:ascii="Calibri" w:cs="Calibri" w:eastAsia="Calibri" w:hAnsi="Calibri"/>
                <w:b/>
                <w:bCs/>
                <w:color w:val="FFFFFF"/>
                <w:sz w:val="22"/>
                <w:szCs w:val="22"/>
              </w:rPr>
              <w:t xml:space="preserve">Qué evalúa</w:t>
            </w:r>
          </w:p>
        </w:tc>
      </w:tr>
      <w:tr>
        <w:tc>
          <w:tcPr>
            <w:tcW w:type="dxa" w:w="2500"/>
          </w:tcPr>
          <w:p>
            <w:pPr>
              <w:spacing w:after="40"/>
            </w:pPr>
            <w:r>
              <w:rPr>
                <w:rFonts w:ascii="Calibri" w:cs="Calibri" w:eastAsia="Calibri" w:hAnsi="Calibri"/>
                <w:sz w:val="22"/>
                <w:szCs w:val="22"/>
              </w:rPr>
              <w:t xml:space="preserve">Min 18-22 (post-definición)</w:t>
            </w:r>
          </w:p>
        </w:tc>
        <w:tc>
          <w:tcPr>
            <w:tcW w:type="dxa" w:w="2500"/>
          </w:tcPr>
          <w:p>
            <w:pPr>
              <w:spacing w:after="40"/>
            </w:pPr>
            <w:r>
              <w:rPr>
                <w:rFonts w:ascii="Calibri" w:cs="Calibri" w:eastAsia="Calibri" w:hAnsi="Calibri"/>
                <w:sz w:val="22"/>
                <w:szCs w:val="22"/>
              </w:rPr>
              <w:t xml:space="preserve">Hinge question con dedos</w:t>
            </w:r>
          </w:p>
        </w:tc>
        <w:tc>
          <w:tcPr>
            <w:tcW w:type="dxa" w:w="4072"/>
          </w:tcPr>
          <w:p>
            <w:pPr>
              <w:spacing w:after="40"/>
            </w:pPr>
            <w:r>
              <w:rPr>
                <w:rFonts w:ascii="Calibri" w:cs="Calibri" w:eastAsia="Calibri" w:hAnsi="Calibri"/>
                <w:sz w:val="22"/>
                <w:szCs w:val="22"/>
              </w:rPr>
              <w:t xml:space="preserve">¿Comprendieron que un estilo es una tendencia, no una capacidad fija?</w:t>
            </w:r>
          </w:p>
        </w:tc>
      </w:tr>
      <w:tr>
        <w:tc>
          <w:tcPr>
            <w:tcW w:type="dxa" w:w="2500"/>
            <w:shd w:fill="E8F0FE" w:val="clear"/>
          </w:tcPr>
          <w:p>
            <w:pPr>
              <w:spacing w:after="40"/>
            </w:pPr>
            <w:r>
              <w:rPr>
                <w:rFonts w:ascii="Calibri" w:cs="Calibri" w:eastAsia="Calibri" w:hAnsi="Calibri"/>
                <w:sz w:val="22"/>
                <w:szCs w:val="22"/>
              </w:rPr>
              <w:t xml:space="preserve">Min 52 (post-estaciones)</w:t>
            </w:r>
          </w:p>
        </w:tc>
        <w:tc>
          <w:tcPr>
            <w:tcW w:type="dxa" w:w="2500"/>
            <w:shd w:fill="E8F0FE" w:val="clear"/>
          </w:tcPr>
          <w:p>
            <w:pPr>
              <w:spacing w:after="40"/>
            </w:pPr>
            <w:r>
              <w:rPr>
                <w:rFonts w:ascii="Calibri" w:cs="Calibri" w:eastAsia="Calibri" w:hAnsi="Calibri"/>
                <w:sz w:val="22"/>
                <w:szCs w:val="22"/>
              </w:rPr>
              <w:t xml:space="preserve">Think-Pair-Share diagnóstico</w:t>
            </w:r>
          </w:p>
        </w:tc>
        <w:tc>
          <w:tcPr>
            <w:tcW w:type="dxa" w:w="4072"/>
            <w:shd w:fill="E8F0FE" w:val="clear"/>
          </w:tcPr>
          <w:p>
            <w:pPr>
              <w:spacing w:after="40"/>
            </w:pPr>
            <w:r>
              <w:rPr>
                <w:rFonts w:ascii="Calibri" w:cs="Calibri" w:eastAsia="Calibri" w:hAnsi="Calibri"/>
                <w:sz w:val="22"/>
                <w:szCs w:val="22"/>
              </w:rPr>
              <w:t xml:space="preserve">¿Pueden articular por qué un modelo les resulta útil para pensar en el jardín?</w:t>
            </w:r>
          </w:p>
        </w:tc>
      </w:tr>
      <w:tr>
        <w:tc>
          <w:tcPr>
            <w:tcW w:type="dxa" w:w="2500"/>
          </w:tcPr>
          <w:p>
            <w:pPr>
              <w:spacing w:after="40"/>
            </w:pPr>
            <w:r>
              <w:rPr>
                <w:rFonts w:ascii="Calibri" w:cs="Calibri" w:eastAsia="Calibri" w:hAnsi="Calibri"/>
                <w:sz w:val="22"/>
                <w:szCs w:val="22"/>
              </w:rPr>
              <w:t xml:space="preserve">Min 68-72 (post-debate)</w:t>
            </w:r>
          </w:p>
        </w:tc>
        <w:tc>
          <w:tcPr>
            <w:tcW w:type="dxa" w:w="2500"/>
          </w:tcPr>
          <w:p>
            <w:pPr>
              <w:spacing w:after="40"/>
            </w:pPr>
            <w:r>
              <w:rPr>
                <w:rFonts w:ascii="Calibri" w:cs="Calibri" w:eastAsia="Calibri" w:hAnsi="Calibri"/>
                <w:sz w:val="22"/>
                <w:szCs w:val="22"/>
              </w:rPr>
              <w:t xml:space="preserve">Argumentación oral</w:t>
            </w:r>
          </w:p>
        </w:tc>
        <w:tc>
          <w:tcPr>
            <w:tcW w:type="dxa" w:w="4072"/>
          </w:tcPr>
          <w:p>
            <w:pPr>
              <w:spacing w:after="40"/>
            </w:pPr>
            <w:r>
              <w:rPr>
                <w:rFonts w:ascii="Calibri" w:cs="Calibri" w:eastAsia="Calibri" w:hAnsi="Calibri"/>
                <w:sz w:val="22"/>
                <w:szCs w:val="22"/>
              </w:rPr>
              <w:t xml:space="preserve">¿Pueden argumentar a favor y en contra de los estilos? ¿Integran ambas miradas?</w:t>
            </w:r>
          </w:p>
        </w:tc>
      </w:tr>
    </w:tbl>
    <w:p>
      <w:pPr>
        <w:spacing w:after="120"/>
      </w:pPr>
    </w:p>
    <w:p>
      <w:pPr>
        <w:pStyle w:val="Heading1"/>
        <w:spacing w:after="120" w:before="300"/>
      </w:pPr>
      <w:r>
        <w:rPr>
          <w:rFonts w:ascii="Calibri" w:cs="Calibri" w:eastAsia="Calibri" w:hAnsi="Calibri"/>
          <w:b/>
          <w:bCs/>
          <w:color w:val="1E3A5F"/>
        </w:rPr>
        <w:t xml:space="preserve">Para la próxima clase (Clase 11)</w:t>
      </w:r>
    </w:p>
    <w:p>
      <w:pPr>
        <w:spacing w:after="80"/>
      </w:pPr>
      <w:r>
        <w:rPr>
          <w:rFonts w:ascii="Calibri" w:cs="Calibri" w:eastAsia="Calibri" w:hAnsi="Calibri"/>
          <w:sz w:val="22"/>
          <w:szCs w:val="22"/>
        </w:rPr>
        <w:t xml:space="preserve">Consigna de reflexión escrita (1/2 carilla):</w:t>
      </w:r>
    </w:p>
    <w:p>
      <w:pPr>
        <w:spacing w:after="80"/>
      </w:pPr>
      <w:r>
        <w:rPr>
          <w:rFonts w:ascii="Calibri" w:cs="Calibri" w:eastAsia="Calibri" w:hAnsi="Calibri"/>
          <w:i/>
          <w:iCs/>
          <w:sz w:val="22"/>
          <w:szCs w:val="22"/>
        </w:rPr>
        <w:t xml:space="preserve">"¿Alguna vez sentiste que 'no querías' aprender algo aunque sabías que podías? ¿Qué influyó en esa falta de motivación?"</w:t>
      </w:r>
    </w:p>
    <w:p>
      <w:pPr>
        <w:spacing w:after="120"/>
      </w:pPr>
    </w:p>
    <w:p>
      <w:pPr>
        <w:spacing w:after="80"/>
      </w:pPr>
      <w:r>
        <w:rPr>
          <w:rFonts w:ascii="Calibri" w:cs="Calibri" w:eastAsia="Calibri" w:hAnsi="Calibri"/>
          <w:color w:val="666666"/>
          <w:sz w:val="22"/>
          <w:szCs w:val="22"/>
        </w:rPr>
        <w:t xml:space="preserve">Esta reflexión será el punto de partida para la Clase 11: Motivación y educabilidad.</w:t>
      </w:r>
    </w:p>
    <w:p>
      <w:pPr>
        <w:spacing w:after="120"/>
      </w:pPr>
    </w:p>
    <w:p>
      <w:pPr>
        <w:pStyle w:val="Heading1"/>
        <w:spacing w:after="120" w:before="300"/>
      </w:pPr>
      <w:r>
        <w:rPr>
          <w:rFonts w:ascii="Calibri" w:cs="Calibri" w:eastAsia="Calibri" w:hAnsi="Calibri"/>
          <w:b/>
          <w:bCs/>
          <w:color w:val="1E3A5F"/>
        </w:rPr>
        <w:t xml:space="preserve">Referencias</w:t>
      </w:r>
    </w:p>
    <w:p>
      <w:pPr>
        <w:pStyle w:val="ListParagraph"/>
        <w:numPr>
          <w:ilvl w:val="0"/>
          <w:numId w:val="1"/>
        </w:numPr>
        <w:spacing w:after="60"/>
      </w:pPr>
      <w:r>
        <w:rPr>
          <w:rFonts w:ascii="Calibri" w:cs="Calibri" w:eastAsia="Calibri" w:hAnsi="Calibri"/>
          <w:sz w:val="22"/>
          <w:szCs w:val="22"/>
        </w:rPr>
        <w:t xml:space="preserve">Alonso, C., Gallego, D. y Honey, P. (1994). Los estilos de aprendizaje. Bilbao: Mensajero.</w:t>
      </w:r>
    </w:p>
    <w:p>
      <w:pPr>
        <w:pStyle w:val="ListParagraph"/>
        <w:numPr>
          <w:ilvl w:val="0"/>
          <w:numId w:val="1"/>
        </w:numPr>
        <w:spacing w:after="60"/>
      </w:pPr>
      <w:r>
        <w:rPr>
          <w:rFonts w:ascii="Calibri" w:cs="Calibri" w:eastAsia="Calibri" w:hAnsi="Calibri"/>
          <w:sz w:val="22"/>
          <w:szCs w:val="22"/>
        </w:rPr>
        <w:t xml:space="preserve">Dunn, R. y Dunn, K. (1978). Teaching Students Through Their Individual Learning Styles. Reston: Reston Publishing.</w:t>
      </w:r>
    </w:p>
    <w:p>
      <w:pPr>
        <w:pStyle w:val="ListParagraph"/>
        <w:numPr>
          <w:ilvl w:val="0"/>
          <w:numId w:val="1"/>
        </w:numPr>
        <w:spacing w:after="60"/>
      </w:pPr>
      <w:r>
        <w:rPr>
          <w:rFonts w:ascii="Calibri" w:cs="Calibri" w:eastAsia="Calibri" w:hAnsi="Calibri"/>
          <w:sz w:val="22"/>
          <w:szCs w:val="22"/>
        </w:rPr>
        <w:t xml:space="preserve">Honey, P. y Mumford, A. (1986). The Manual of Learning Styles. Maidenhead: Peter Honey.</w:t>
      </w:r>
    </w:p>
    <w:p>
      <w:pPr>
        <w:pStyle w:val="ListParagraph"/>
        <w:numPr>
          <w:ilvl w:val="0"/>
          <w:numId w:val="1"/>
        </w:numPr>
        <w:spacing w:after="60"/>
      </w:pPr>
      <w:r>
        <w:rPr>
          <w:rFonts w:ascii="Calibri" w:cs="Calibri" w:eastAsia="Calibri" w:hAnsi="Calibri"/>
          <w:sz w:val="22"/>
          <w:szCs w:val="22"/>
        </w:rPr>
        <w:t xml:space="preserve">Kolb, D. (1984). Experiential Learning. Englewood Cliffs: Prentice Hall.</w:t>
      </w:r>
    </w:p>
    <w:p>
      <w:pPr>
        <w:pStyle w:val="ListParagraph"/>
        <w:numPr>
          <w:ilvl w:val="0"/>
          <w:numId w:val="1"/>
        </w:numPr>
        <w:spacing w:after="60"/>
      </w:pPr>
      <w:r>
        <w:rPr>
          <w:rFonts w:ascii="Calibri" w:cs="Calibri" w:eastAsia="Calibri" w:hAnsi="Calibri"/>
          <w:sz w:val="22"/>
          <w:szCs w:val="22"/>
        </w:rPr>
        <w:t xml:space="preserve">Pashler, H. et al. (2008). Learning Styles: Concepts and Evidence. Psychological Science in the Public Interest, 9(3), 105-119.</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2026-08-18T00:33:26.650Z</dcterms:created>
  <dcterms:modified xsi:type="dcterms:W3CDTF">2026-08-18T00:33:26.652Z</dcterms:modified>
</cp:coreProperties>
</file>

<file path=docProps/custom.xml><?xml version="1.0" encoding="utf-8"?>
<Properties xmlns="http://schemas.openxmlformats.org/officeDocument/2006/custom-properties" xmlns:vt="http://schemas.openxmlformats.org/officeDocument/2006/docPropsVTypes"/>
</file>