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GUION DE BOLSILLO · CLASE 11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Motivación y Autoestima — Deci/Ryan · Bandura · Weiner · Pygmalion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222222"/>
          <w:sz w:val="26"/>
          <w:szCs w:val="26"/>
        </w:rPr>
        <w:t xml:space="preserve">Psicología Educacional · Prof. de Educación Inicial 2° A · 80 minutos · 21 estudiantes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ANTES DE ENTRAR —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HTML abierto en el navegador: probá Espacio (avanzar), F (pantalla completa), N (notas), G (grilla) y los temporizadores.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Material de lectura Clase 11: 1 juego cada 2 estudiantes (~11 copias) o digital en el celular.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Situaciones Pygmalion recortadas: 1 tanda de 3 por pareja (~10 tandas). Alternativa sin copias: proyectarlas por pestañas (Diap. 15).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Juego de frases docentes: vienen proyectadas (Diap. 11); si preferís papelitos, 1 juego por mesa.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Papel afiche o pizarrón libre para la sistematización de la Fase 1 y el círculo del cierre.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Guion del hinge Valentín a mano (clave abajo) · Consignas puente Clase 12 impresas: 21 copias.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GUION MINUTO A MINUTO</w:t>
      </w:r>
    </w:p>
    <w:tbl>
      <w:tblPr>
        <w:tblW w:type="dxa" w:w="14790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899"/>
        <w:gridCol w:w="9766"/>
        <w:gridCol w:w="4125"/>
      </w:tblGrid>
      <w:tr>
        <w:trPr>
          <w:tblHeader/>
        </w:trP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MIN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QUÉ HACÉS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PANTALLA / MATERIAL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1 · APERTURA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0–3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Do Now individual y en silencio, en el cuaderno: «Pensá en una actividad que te motivó mucho en tu historia escolar. ¿Qué tenía esa actividad que te hacía querer participar?» (temporiz. 3 min)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3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3–9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Puesta en común: varias voces; agrupás sus respuestas en el pizarrón sin nombres técnicos todavía (variedad · desafío · vínculo · juego · autonomía)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4 · pizarrón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9–12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Conexión desde la Clase 10 e intención: «ya sabemos que cada uno aprende distinto; hoy vemos qué pasa cuando el motor no arranca»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4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2 · MARCO CONCEPTUAL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12–21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Intrínseca vs. extrínseca (Deci/Ryan) conectando con lo emergido; bisagra: «¿un premio sobre algo que ya te gustaba?»; explicitás la sobrejustificación; cierre: el juego libre como espacio de motivación intrínseca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5·6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21–26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Autoeficacia (Bandura): fuentes, con énfasis en experiencias de logro y ejemplo de sala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26–30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Atribuciones causales (Weiner); bisagra: «"sos muy inteligente" vs. "te esforzaste mucho"» — solo la atribución al esfuerzo sostiene ante el fracaso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8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30–34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Autoestima: James (éxito ÷ pretensiones); Rosenberg global/académica; distinción innegociable: «puedo ≠ valgo»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9·10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CHECKPOINT FORMATIVO · FRASES DOCENTES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34–38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Cada mesa clasifica 3 frases docentes; puesta rápida de clasificaciones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11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38–40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Presentás el círculo motivación–logro–reconocimiento–autoestima (virtuoso/vicioso, toggle interactivo)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12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3 · EL EFECTO PYGMALIÓN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40–47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Narrás el experimento de 1968 («florecimientos» elegidos al azar, mejoras reales meses después); pregunta clave: «¿cómo se transmiten sin decir nada?»; armás juntos el listado de canales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13·14 · pizarrón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47–60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Parejas analizan 3 situaciones («el que siempre sabe» / «el que siempre necesita ayuda» / «el que falló tres veces»): expectativa → canal → efecto → modificación (temporiz. 13)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15 · tandas impresas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60–65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Puesta en común: completás canales + estrategias de modificación junto al listado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16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4 · CIERRE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65–67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Hinge: leés despacio → 3 segundos de silencio → voto con dedos (A–D)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67–70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Contás votos, discusión breve y devolución según la clave de abajo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70–75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Síntesis co-construida: reconstruís el círculo motivacional en el pizarrón con ejemplos aportados por ellas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18 · pizarrón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75–80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Proyectás la consigna puente hacia la Clase 12 (resiliencia), ½ carilla; gancho: «quién sostiene cuando todo empuja al revés»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19 · consignas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CLAVES RÁPIDAS</w:t>
      </w:r>
    </w:p>
    <w:tbl>
      <w:tblPr>
        <w:tblW w:type="dxa" w:w="10800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2199"/>
        <w:gridCol w:w="8601"/>
      </w:tblGrid>
      <w:tr>
        <w:trPr>
          <w:tblHeader/>
        </w:trP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CLAVE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QUÉ HACER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Hinge
(min 65–70)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Correcta: B (atribución a capacidad estable — indefensión aprendida). ≥80% eligió B → avanzar · 50–79% → re-teach 2 min: «"no sirvo" describe cómo explica el fracaso, no falta de ganas» + partir la tarea en pasos alcanzables · &lt;50% → volver a Weiner (Diap. 8) con el ejemplo de la torre.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Frases docentes
(min 34–38)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«¡Sos genial!» = elogio vacío (sube un momento, cae todo junto con el error) · «Me encanta cómo probaste otra estrategia» = feedback procesual → construye autoeficacia (y alimenta también la autoestima) · «Qué buena chica sos» = premia el ser, no el hacer: autoestima condicional; mejor ligarla a acciones concretas.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Situaciones
Pygmalion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(a) «el que siempre sabe» → expectativa alta fija: techo invisible para el resto, presión para él · (b) «el que siempre necesita ayuda» → sobreayuda anticipada transmite incompetencia · (c) «el que falló tres veces» → riesgo de atribuir el fracaso a capacidad estable. Modificación en los tres casos: preguntar a todos, esperar el tiempo completo, ayuda procesual, feedback al esfuerzo.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ATAJOS DEL PROYECTOR: </w:t>
      </w:r>
      <w:r>
        <w:rPr>
          <w:rFonts w:ascii="Calibri" w:cs="Calibri" w:eastAsia="Calibri" w:hAnsi="Calibri"/>
          <w:color w:val="222222"/>
          <w:sz w:val="26"/>
          <w:szCs w:val="26"/>
        </w:rPr>
        <w:t xml:space="preserve">Espacio/→ avanzan · ← retrocede · F pantalla completa · N notas · G grilla · B pantalla negra · Esc cierra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Tiempos orientativos: si el análisis de situaciones engancha, recortá la puesta en común (Diap. 16) y recuperala al inicio de la próxima. Basada en: Plan_Clase11_Motivacion.docx · Clase11_Presentacion_Proyector.html · Material_Lectura_Clase11.pdf</w:t>
      </w:r>
    </w:p>
    <w:sectPr>
      <w:pgSz w:w="16838" w:h="11906" w:orient="landscape"/>
      <w:pgMar w:top="480" w:right="550" w:bottom="40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2026-08-23T01:56:40.086Z</dcterms:created>
  <dcterms:modified xsi:type="dcterms:W3CDTF">2026-08-23T01:56:40.086Z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