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PROFESORADO DE EDUCACIÓN INICIAL — 2° AÑO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Psicología Educacional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Segunda mitad del año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Clase 11 — Motivación y autoestima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66666"/>
        </w:rPr>
        <w:t xml:space="preserve">¿Qué mueve a aprender? ¿Cómo se construye la autoestima de quien aprende?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80 minutos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Objetivos de la clase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Reconocer la distinción entre motivación intrínseca y extrínseca, y el efecto de sobrejustificación en contextos educativos.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Diferenciar autoeficacia (Bandura) y atribuciones causales (Weiner) de la autoestima académica (James, Rosenberg), y traducir ambas al lenguaje del aula de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Identificar cómo las expectativas docentes se transmiten sin verbalizarse (efecto Pygmalión) y qué efectos producen sobre la motivación y la autoestima.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Diseñar intervenciones docentes (consignas, devoluciones, elogios) que sostengan la motivación ante el error.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Desarrollo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1: Apertura — La motivación que (no) tuvimos (12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Activar la experiencia motivacional propia y construir inductivamente las categorías que la psicología nombra después.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0–3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Do Now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 el pizarrón o proyectado, las estudiantes leen y responden en su cuaderno: «Pensá en una actividad que te motivó mucho en tu historia escolar. ¿Qué tenía esa actividad que te hacía querer participar?» Sin conversar, cada una escribe individualmente.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3–9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Sistematización colectiva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Varias estudiantes comparten sus respuestas. La docente agrupa en el pizarrón las categorías que emergen (variedad, desafío, vínculo, juego, autonomía), sin imponer todavía los nombres técnicos.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9–12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Conexión e intención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Desde la Clase 10: «Ya sabemos que cada uno aprende de manera distinta. Hoy vemos qué dice la psicología sobre por qué a veces el motor no acompaña.» Al terminar la clase van a poder clasificar elogios y anticipar el efecto motivacional de sus intervenciones.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pizarrón o proyector; diapositivas 3–4 del PPT de la clase.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2: Exploración guiada — Los lentes de la motivación (28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Construir las distinciones centrales (intrínseca/extrínseca, autoeficacia/autoestima, atribuciones) y traducirlas al lenguaje cotidiano de la sala.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12–21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Motivación intrínseca vs. extrínseca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Deci y Ryan (1985), conectando con lo emergido en la Fase 1. Bisagra vivencial: «¿Recibiste alguna vez un premio por algo que ya te gustaba? ¿Qué pasó después?» Explicitar el efecto de sobrejustificación. Cierre: el juego libre como espacio por excelencia de motivación intrínseca en inicial.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21–30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Autoeficacia y atribuciones causales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Bandura (1977): fuentes de la autoeficacia, con énfasis en las experiencias de logro. Weiner (1986): atribuciones causales con un ejemplo de sala. Bisagra: «Si un niño falla repetidamente, ¿qué le decimos: "sos muy inteligente" o "te esforzaste mucho"?» Explicitar: las atribuciones al esfuerzo son las únicas que sostienen la motivación ante el fracaso.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30–36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 autoestima de quien aprende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James: autoestima como éxito dividido pretensiones. Rosenberg: autoestima global vs. académica. Distinción innegociable: autoeficacia («puedo») no es autoestima («valgo»).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36–40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EVALUACIÓN FORMATIVA: Juego de frases docentes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Cada mesa clasifica tres elogios («¡sos genial!», «me encanta cómo probaste otra estrategia», «qué buena chica sos») en: construye autoeficacia / construye autoestima / elogio vacío. Puesta rápida y presentación esquemática del círculo virtuoso/vicioso motivación–logro–reconocimiento–autoestima.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diapositivas 5–12 del PPT (incluye momentos interactivos); material de lectura Clase 11.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3: Profundización — El efecto Pygmalión en el aula (25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Reconocer cómo las expectativas docentes se transmiten sin decirse y ensayar su modificación sobre situaciones concretas.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40–47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 investigación de Rosenthal y Jacobson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Narración del experimento de 1968: niños etiquetados al azar como «florecimientos»; mejoras reales meses después. Pregunta clave: «¿Cómo se transmiten las expectativas sin decir nada?» Listado conjunto en el pizarrón: tiempo de espera, complejidad de preguntas, tipo de ayuda, comentarios evaluativos, miradas.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47–60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Análisis de situaciones en parejas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Tres situaciones breves: «el que siempre sabe», «el que siempre necesita ayuda», «el que falló tres veces». Cada pareja identifica: qué expectativa transmite la docente, cómo la transmite, qué efecto puede tener sobre motivación y autoestima, y cómo modificaría esa interacción.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60–65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Puesta en común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Sistematización de los canales de transmisión y de estrategias concretas de modificación, anotadas junto al listado previo.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situaciones de análisis impresas (una tanda por pareja); diapositivas 13–16 del PPT.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4: Cierre — Verificar, sintetizar y proyectar (15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Verificar el concepto central con una hinge question, co-construir la síntesis y activar la experiencia que abrirá la próxima clase.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65–70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EVALUACIÓN FORMATIVA: Hinge question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Valentín (5 años) intenta armar una torre, se le cae tres veces y dice: «Yo no sirvo para esto.» ¿Qué concepto explica mejor lo que pasa? A) Motivación extrínseca · B) Atribución a capacidad estable (indefensión aprendida) · C) Sobrejustificación · D) Alta autoestima con baja autoeficacia. Lectura lenta, 3 segundos de silencio, voto con dedos.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70–75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Devolución y síntesis co-construida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Conteo de votos y discusión breve. Correcta: B — Valentín explica su fracaso con una causa interna y estable; esa atribución apaga el esfuerzo futuro. La intervención docente: devolver la causalidad al esfuerzo y partir la tarea en pasos alcanzables. Reconstrucción conjunta del círculo motivación–logro–reconocimiento–autoestima con ejemplos aportados por las estudiantes.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75–80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Consigna puente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«Pensá en alguien que atravesó una época difícil y aun así siguió aprendiendo. Escribí quién era, qué dificultad atravesaba y qué o quién lo sostuvo.» Reflexión escrita (½ carilla) para retomar en la Clase 12. Gancho final: «después de la motivación viene la tormenta: quién sostiene cuando todo empuja al revés».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diapositivas 17–19 del PPT; hojas para escritura.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Materiales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Presentación de la Clase 11 (proyector o pizarrón): 19 diapositivas, con momentos interactivos.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Material de lectura Clase 11 (PDF/HTML, publicado previamente en Classroom).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Situaciones de análisis — efecto Pygmalion: una tanda impresa por pareja.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Pizarrón o papel afiche para la sistematización.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Hojas para la reflexión escrita.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Evaluación formativa</w:t>
      </w:r>
    </w:p>
    <w:p>
      <w:pPr>
        <w:spacing w:after="100"/>
      </w:pPr>
      <w:r>
        <w:rPr>
          <w:rFonts w:ascii="Calibri" w:cs="Calibri" w:eastAsia="Calibri" w:hAnsi="Calibri"/>
        </w:rPr>
        <w:t xml:space="preserve">Momentos de verificación integrados al desarrollo de la clase: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2500"/>
        <w:gridCol w:w="2500"/>
        <w:gridCol w:w="4072"/>
      </w:tblGrid>
      <w:tr>
        <w:trPr>
          <w:tblHeader/>
        </w:trPr>
        <w:tc>
          <w:tcPr>
            <w:tcW w:type="dxa" w:w="25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25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Técnica</w:t>
            </w:r>
          </w:p>
        </w:tc>
        <w:tc>
          <w:tcPr>
            <w:tcW w:type="dxa" w:w="4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evalúa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0–3 (Do Now)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Escritura individual</w:t>
            </w:r>
          </w:p>
        </w:tc>
        <w:tc>
          <w:tcPr>
            <w:tcW w:type="dxa" w:w="4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¿Recuperan experiencias motivacionales propias como anclaje del tema?</w:t>
            </w:r>
          </w:p>
        </w:tc>
      </w:tr>
      <w:tr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36–40 (frases docentes)</w:t>
            </w:r>
          </w:p>
        </w:tc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Clasificación argumentada en mesas</w:t>
            </w:r>
          </w:p>
        </w:tc>
        <w:tc>
          <w:tcPr>
            <w:tcW w:type="dxa" w:w="4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¿Distinguen autoeficacia, autoestima y elogio vacío?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47–60 (Pygmalion)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Análisis escrito en parejas</w:t>
            </w:r>
          </w:p>
        </w:tc>
        <w:tc>
          <w:tcPr>
            <w:tcW w:type="dxa" w:w="4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¿Identifican expectativa, canal de transmisión y efecto posible? ¿Proponen modificaciones?</w:t>
            </w:r>
          </w:p>
        </w:tc>
      </w:tr>
      <w:tr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65–70 (hinge question)</w:t>
            </w:r>
          </w:p>
        </w:tc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Voto con dedos (A–D)</w:t>
            </w:r>
          </w:p>
        </w:tc>
        <w:tc>
          <w:tcPr>
            <w:tcW w:type="dxa" w:w="4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¿Comprendieron que atribuir el fracaso a capacidad estable apaga el esfuerzo?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Para la próxima clase (Clase 12 — Resiliencia)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Consigna puente: </w:t>
      </w:r>
      <w:r>
        <w:rPr>
          <w:rFonts w:ascii="Calibri" w:cs="Calibri" w:eastAsia="Calibri" w:hAnsi="Calibri"/>
        </w:rPr>
        <w:t xml:space="preserve">«Pensá en alguien que atravesó una época difícil y aun así siguió aprendiendo. Escribí quién era, qué dificultad atravesaba y qué o quién lo sostuvo.»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</w:rPr>
        <w:t xml:space="preserve">½ carilla; la reflexión abre la Clase 12.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Nota de recorte didáctico: </w:t>
      </w:r>
      <w:r>
        <w:rPr>
          <w:rFonts w:ascii="Calibri" w:cs="Calibri" w:eastAsia="Calibri" w:hAnsi="Calibri"/>
          <w:i/>
          <w:iCs/>
          <w:color w:val="666666"/>
        </w:rPr>
        <w:t xml:space="preserve">el debate sobre la educabilidad se traslada a la Unidad IV (Clase 14); la autoestima, trabajada aquí, se retoma como factor protector en la Clase 12.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Bandura, A. (1977). Self-efficacy: Toward a unifying theory of behavioral change. Psychological Review, 84(2), 191–215.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Deci, E. L. y Ryan, R. M. (1985). Intrinsic motivation and self-determination in human behavior. Nueva York: Plenum.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James, W. (1890). The principles of psychology. Nueva York: Henry Holt.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Rosenberg, M. (1965). Society and the adolescent self-image. Princeton: Princeton University Press.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Rosenthal, R. y Jacobson, L. (1968). Pygmalion in the classroom. Nueva York: Holt, Rinehart &amp; Winston.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Weiner, B. (1986). An attributional theory of motivation and emotion. Nueva York: Springer.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2026-08-23T01:56:40.057Z</dcterms:created>
  <dcterms:modified xsi:type="dcterms:W3CDTF">2026-08-23T01:56:40.057Z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