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6B7280"/>
          <w:sz w:val="20"/>
          <w:szCs w:val="20"/>
        </w:rPr>
        <w:t xml:space="preserve">PROFESORADO DE EDUCACIÓN INICIAL · 2° AÑO</w:t>
      </w:r>
    </w:p>
    <w:p>
      <w:pPr>
        <w:spacing w:after="40"/>
      </w:pPr>
      <w:r>
        <w:rPr>
          <w:b/>
          <w:bCs/>
          <w:color w:val="22334D"/>
          <w:sz w:val="30"/>
          <w:szCs w:val="30"/>
        </w:rPr>
        <w:t xml:space="preserve">Psicología Educacional</w:t>
      </w:r>
    </w:p>
    <w:p>
      <w:pPr>
        <w:spacing w:after="200"/>
      </w:pPr>
      <w:r>
        <w:rPr>
          <w:color w:val="C4633E"/>
          <w:sz w:val="22"/>
          <w:szCs w:val="22"/>
        </w:rPr>
        <w:t xml:space="preserve">PLAN DE CLASE 12 — Segunda mitad del año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6120"/>
      </w:tblGrid>
      <w:tr>
        <w:tc>
          <w:tcPr>
            <w:tcW w:type="dxa" w:w="30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D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A3547"/>
                <w:sz w:val="20"/>
                <w:szCs w:val="20"/>
              </w:rPr>
              <w:t xml:space="preserve">Materia:</w:t>
            </w:r>
          </w:p>
        </w:tc>
        <w:tc>
          <w:tcPr>
            <w:tcW w:type="dxa" w:w="612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A3547"/>
                <w:sz w:val="20"/>
                <w:szCs w:val="20"/>
              </w:rPr>
              <w:t xml:space="preserve">Psicología Educacional</w:t>
            </w:r>
          </w:p>
        </w:tc>
      </w:tr>
      <w:tr>
        <w:tc>
          <w:tcPr>
            <w:tcW w:type="dxa" w:w="30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D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A3547"/>
                <w:sz w:val="20"/>
                <w:szCs w:val="20"/>
              </w:rPr>
              <w:t xml:space="preserve">Clase:</w:t>
            </w:r>
          </w:p>
        </w:tc>
        <w:tc>
          <w:tcPr>
            <w:tcW w:type="dxa" w:w="612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A3547"/>
                <w:sz w:val="20"/>
                <w:szCs w:val="20"/>
              </w:rPr>
              <w:t xml:space="preserve">12 — Resiliencia y escuela</w:t>
            </w:r>
          </w:p>
        </w:tc>
      </w:tr>
      <w:tr>
        <w:tc>
          <w:tcPr>
            <w:tcW w:type="dxa" w:w="30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D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A3547"/>
                <w:sz w:val="20"/>
                <w:szCs w:val="20"/>
              </w:rPr>
              <w:t xml:space="preserve">Duración:</w:t>
            </w:r>
          </w:p>
        </w:tc>
        <w:tc>
          <w:tcPr>
            <w:tcW w:type="dxa" w:w="612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A3547"/>
                <w:sz w:val="20"/>
                <w:szCs w:val="20"/>
              </w:rPr>
              <w:t xml:space="preserve">80 minutos</w:t>
            </w:r>
          </w:p>
        </w:tc>
      </w:tr>
      <w:tr>
        <w:tc>
          <w:tcPr>
            <w:tcW w:type="dxa" w:w="30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D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A3547"/>
                <w:sz w:val="20"/>
                <w:szCs w:val="20"/>
              </w:rPr>
              <w:t xml:space="preserve">Ciclo:</w:t>
            </w:r>
          </w:p>
        </w:tc>
        <w:tc>
          <w:tcPr>
            <w:tcW w:type="dxa" w:w="612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A3547"/>
                <w:sz w:val="20"/>
                <w:szCs w:val="20"/>
              </w:rPr>
              <w:t xml:space="preserve">26/2 — Segundo cuatrimestre · Unidad III</w:t>
            </w:r>
          </w:p>
        </w:tc>
      </w:tr>
    </w:tbl>
    <w:p>
      <w:pPr>
        <w:spacing w:after="200"/>
      </w:pPr>
      <w:r>
        <w:rPr>
          <w:color w:val="2A3547"/>
          <w:sz w:val="22"/>
          <w:szCs w:val="22"/>
        </w:rPr>
        <w:t xml:space="preserve"/>
      </w:r>
    </w:p>
    <w:p>
      <w:pPr>
        <w:spacing w:after="60"/>
      </w:pPr>
      <w:r>
        <w:rPr>
          <w:b/>
          <w:bCs/>
          <w:color w:val="22334D"/>
          <w:sz w:val="23"/>
          <w:szCs w:val="23"/>
        </w:rPr>
        <w:t xml:space="preserve">Clase 12 — Resiliencia y escuela</w:t>
      </w:r>
    </w:p>
    <w:p>
      <w:pPr>
        <w:spacing w:after="200"/>
      </w:pPr>
      <w:r>
        <w:rPr>
          <w:i/>
          <w:iCs/>
          <w:color w:val="C4633E"/>
          <w:sz w:val="24"/>
          <w:szCs w:val="24"/>
        </w:rPr>
        <w:t xml:space="preserve">«¿Por qué unos chicos salen fortalecidos de la adversidad y otros quedan atrapados en ella? ¿Qué puede hacer la escuela?»</w:t>
      </w:r>
    </w:p>
    <w:p>
      <w:pPr>
        <w:spacing w:after="100" w:before="120"/>
      </w:pPr>
      <w:r>
        <w:rPr>
          <w:b/>
          <w:bCs/>
          <w:color w:val="22334D"/>
          <w:sz w:val="23"/>
          <w:szCs w:val="23"/>
        </w:rPr>
        <w:t xml:space="preserve">Propósitos de la clase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A3547"/>
          <w:sz w:val="21"/>
          <w:szCs w:val="21"/>
        </w:rPr>
        <w:t xml:space="preserve">Comprender la resiliencia como un proceso que se construye en la relación —ni rasgo innato ni destino— y no como una cualidad reservada a «niños especiales».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A3547"/>
          <w:sz w:val="21"/>
          <w:szCs w:val="21"/>
        </w:rPr>
        <w:t xml:space="preserve">Distinguir la perspectiva del riesgo (educación compensatoria) del enfoque de la resiliencia, analizando el efecto de cada mirada sobre las expectativas y las prácticas docentes.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A3547"/>
          <w:sz w:val="21"/>
          <w:szCs w:val="21"/>
        </w:rPr>
        <w:t xml:space="preserve">Reconocer las cualidades que facilitan la resiliencia (Higgins) y los seis pasos de Henderson y Milstein como marco concreto para fortalecerla desde la escuela.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A3547"/>
          <w:sz w:val="21"/>
          <w:szCs w:val="21"/>
        </w:rPr>
        <w:t xml:space="preserve">Vincular los conceptos de la Clase 11 (autoestima, autoeficacia, atribuciones causales) con los factores protectores, y diseñar acciones concretas para el nivel inicial.</w:t>
      </w:r>
    </w:p>
    <w:p>
      <w:pPr>
        <w:spacing w:after="60" w:before="200"/>
      </w:pPr>
      <w:r>
        <w:rPr>
          <w:b/>
          <w:bCs/>
          <w:color w:val="22334D"/>
          <w:sz w:val="23"/>
          <w:szCs w:val="23"/>
        </w:rPr>
        <w:t xml:space="preserve">Estructura de la clase (4 fases)</w:t>
      </w:r>
    </w:p>
    <w:p>
      <w:pPr>
        <w:spacing w:after="60" w:before="240"/>
      </w:pPr>
      <w:r>
        <w:rPr>
          <w:b/>
          <w:bCs/>
          <w:color w:val="C4633E"/>
          <w:sz w:val="26"/>
          <w:szCs w:val="26"/>
        </w:rPr>
        <w:t xml:space="preserve">Fase 1 — Apertura: Las historias que trajimos</w:t>
      </w:r>
    </w:p>
    <w:p>
      <w:pPr>
        <w:spacing w:after="120"/>
      </w:pPr>
      <w:r>
        <w:rPr>
          <w:i/>
          <w:iCs/>
          <w:color w:val="6B7280"/>
          <w:sz w:val="19"/>
          <w:szCs w:val="19"/>
        </w:rPr>
        <w:t xml:space="preserve">Duración: 12 minutos · Formato: individual → parejas → plenario corto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A3547"/>
          <w:sz w:val="21"/>
          <w:szCs w:val="21"/>
        </w:rPr>
        <w:t xml:space="preserve">Releer la consigna puente (individual): </w:t>
      </w:r>
      <w:r>
        <w:rPr>
          <w:color w:val="2A3547"/>
          <w:sz w:val="21"/>
          <w:szCs w:val="21"/>
        </w:rPr>
        <w:t xml:space="preserve">cada estudiante vuelve sobre lo escrito al cierre de la Clase 11 («alguien que atravesó una época difícil y aun así siguió aprendiendo»).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A3547"/>
          <w:sz w:val="21"/>
          <w:szCs w:val="21"/>
        </w:rPr>
        <w:t xml:space="preserve">Intercambio en parejas (6 min): </w:t>
      </w:r>
      <w:r>
        <w:rPr>
          <w:color w:val="2A3547"/>
          <w:sz w:val="21"/>
          <w:szCs w:val="21"/>
        </w:rPr>
        <w:t xml:space="preserve">comparten sus historias y responden una única pregunta: ¿qué o quién sostuvo a esa persona mientras atravesaba la dificultad? Cada pareja registra una frase: «lo que la sostuvo fue…».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A3547"/>
          <w:sz w:val="21"/>
          <w:szCs w:val="21"/>
        </w:rPr>
        <w:t xml:space="preserve">Puesta en común (4 min): </w:t>
      </w:r>
      <w:r>
        <w:rPr>
          <w:color w:val="2A3547"/>
          <w:sz w:val="21"/>
          <w:szCs w:val="21"/>
        </w:rPr>
        <w:t xml:space="preserve">la docente sistematiza en el pizarrón los sostenes emergidos (un vínculo afectivo, una rutina, una oportunidad escolar, un deseo propio). Queda instalada la tesis de la clase: nadie se hace resiliente en soledad.</w:t>
      </w:r>
    </w:p>
    <w:p>
      <w:pPr>
        <w:spacing w:after="160" w:before="60"/>
      </w:pPr>
      <w:r>
        <w:rPr>
          <w:i/>
          <w:iCs/>
          <w:color w:val="2A3547"/>
          <w:sz w:val="19"/>
          <w:szCs w:val="19"/>
        </w:rPr>
        <w:t xml:space="preserve">Por qué funciona: </w:t>
      </w:r>
      <w:r>
        <w:rPr>
          <w:i/>
          <w:iCs/>
          <w:color w:val="2A3547"/>
          <w:sz w:val="19"/>
          <w:szCs w:val="19"/>
        </w:rPr>
        <w:t xml:space="preserve">la consigna puente convierte la experiencia personal de cada estudiante en material de análisis. La pregunta por el «sostén» desplaza el foco del héroe solitario hacia los vínculos, y permite llegar al concepto por vía inductiva antes de nombrarlo.</w:t>
      </w:r>
    </w:p>
    <w:p>
      <w:pPr>
        <w:spacing w:after="60" w:before="240"/>
      </w:pPr>
      <w:r>
        <w:rPr>
          <w:b/>
          <w:bCs/>
          <w:color w:val="C4633E"/>
          <w:sz w:val="26"/>
          <w:szCs w:val="26"/>
        </w:rPr>
        <w:t xml:space="preserve">Fase 2 — Exploración guiada: El concepto bajo la lupa</w:t>
      </w:r>
    </w:p>
    <w:p>
      <w:pPr>
        <w:spacing w:after="120"/>
      </w:pPr>
      <w:r>
        <w:rPr>
          <w:i/>
          <w:iCs/>
          <w:color w:val="6B7280"/>
          <w:sz w:val="19"/>
          <w:szCs w:val="19"/>
        </w:rPr>
        <w:t xml:space="preserve">Duración: 28 minutos · Formato: exposición dialogada + análisis de frases cotidianas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A3547"/>
          <w:sz w:val="21"/>
          <w:szCs w:val="21"/>
        </w:rPr>
        <w:t xml:space="preserve">Paso 1 — ¿Qué es la resiliencia? (9 min): </w:t>
      </w:r>
      <w:r>
        <w:rPr>
          <w:color w:val="2A3547"/>
          <w:sz w:val="21"/>
          <w:szCs w:val="21"/>
        </w:rPr>
        <w:t xml:space="preserve">presentación sintética de Uriarte (2005), con el caso Malala (PPT) como anclaje narrativo. Pregunta bisagra: «¿Malala es resiliente porque nació especial o porque algo la sostuvo?» Explicitar la respuesta de Rutter: procesos sociales e intrapsíquicos; ni determinismo genético ni determinismo social.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A3547"/>
          <w:sz w:val="21"/>
          <w:szCs w:val="21"/>
        </w:rPr>
        <w:t xml:space="preserve">Paso 2 — Resiliencia no es aguante (7 min): </w:t>
      </w:r>
      <w:r>
        <w:rPr>
          <w:color w:val="2A3547"/>
          <w:sz w:val="21"/>
          <w:szCs w:val="21"/>
        </w:rPr>
        <w:t xml:space="preserve">análisis rápido de frases escolares frecuentes («es re piola, aguanta todo», «pasa por tantas cosas y ni se entera»). Identificar el costo invisible del niño que «aguanta» y reformular: resiliente es quien cuenta con vínculos que permiten procesar la adversidad y crecer.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A3547"/>
          <w:sz w:val="21"/>
          <w:szCs w:val="21"/>
        </w:rPr>
        <w:t xml:space="preserve">Paso 3 — Dos miradas sobre el mismo alumno (12 min): </w:t>
      </w:r>
      <w:r>
        <w:rPr>
          <w:color w:val="2A3547"/>
          <w:sz w:val="21"/>
          <w:szCs w:val="21"/>
        </w:rPr>
        <w:t xml:space="preserve">contraste entre perspectiva del riesgo / educación compensatoria y enfoque de la resiliencia. Trabajo relámpago por mesa: dadas dos intervenciones docentes reales (una mirada deficitaria —«este no va a poder nunca»— y otra que optimiza —«¿qué le funciona a este chico?»—), identificar qué pregunta se hace cada una y qué efecto produce sobre la autoestima del niño. Cierre: factores de riesgo vs. factores protectores.</w:t>
      </w:r>
    </w:p>
    <w:p>
      <w:pPr>
        <w:spacing w:after="160" w:before="60"/>
      </w:pPr>
      <w:r>
        <w:rPr>
          <w:i/>
          <w:iCs/>
          <w:color w:val="2A3547"/>
          <w:sz w:val="19"/>
          <w:szCs w:val="19"/>
        </w:rPr>
        <w:t xml:space="preserve">Por qué funciona: </w:t>
      </w:r>
      <w:r>
        <w:rPr>
          <w:i/>
          <w:iCs/>
          <w:color w:val="2A3547"/>
          <w:sz w:val="19"/>
          <w:szCs w:val="19"/>
        </w:rPr>
        <w:t xml:space="preserve">el contraste entre las dos perspectivas se trabaja sobre frases que las estudiantes ya escucharon (o dijeron) en escuelas reales, lo que evita la discusión abstracta. El paso 2 desarma temprano el mito del niño «que aguanta todo», que suele aparecer como ideal docente implícito.</w:t>
      </w:r>
    </w:p>
    <w:p>
      <w:pPr>
        <w:spacing w:after="60" w:before="240"/>
      </w:pPr>
      <w:r>
        <w:rPr>
          <w:b/>
          <w:bCs/>
          <w:color w:val="C4633E"/>
          <w:sz w:val="26"/>
          <w:szCs w:val="26"/>
        </w:rPr>
        <w:t xml:space="preserve">Fase 3 — Profundización: Construir resiliencia desde el jardín</w:t>
      </w:r>
    </w:p>
    <w:p>
      <w:pPr>
        <w:spacing w:after="120"/>
      </w:pPr>
      <w:r>
        <w:rPr>
          <w:i/>
          <w:iCs/>
          <w:color w:val="6B7280"/>
          <w:sz w:val="19"/>
          <w:szCs w:val="19"/>
        </w:rPr>
        <w:t xml:space="preserve">Duración: 25 minutos · Formato: exposición breve + taller grupal + puesta en común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A3547"/>
          <w:sz w:val="21"/>
          <w:szCs w:val="21"/>
        </w:rPr>
        <w:t xml:space="preserve">Paso 1 — Cualidades y seis pasos (10 min): </w:t>
      </w:r>
      <w:r>
        <w:rPr>
          <w:color w:val="2A3547"/>
          <w:sz w:val="21"/>
          <w:szCs w:val="21"/>
        </w:rPr>
        <w:t xml:space="preserve">presentación sintética de las cualidades que facilitan la resiliencia (Higgins, 1994), conectándolas explícitamente con los conceptos de la Clase 11, y de los seis pasos de Henderson y Milstein (2003). Subrayado: el afecto es el paso más importante y permanente.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A3547"/>
          <w:sz w:val="21"/>
          <w:szCs w:val="21"/>
        </w:rPr>
        <w:t xml:space="preserve">Paso 2 — Taller grupal (10 min): </w:t>
      </w:r>
      <w:r>
        <w:rPr>
          <w:color w:val="2A3547"/>
          <w:sz w:val="21"/>
          <w:szCs w:val="21"/>
        </w:rPr>
        <w:t xml:space="preserve">cada grupo recibe una situación breve de nivel inicial (material adjunto): (a) Tomás, 5 años, llega tarde casi todos los días y sin desayunar; (b) Camila, 4 años, llora cada mañana en la puerta: su mamá acaba de irse de la casa; (c) Benjamín, 5 años, «el que no habla»: su familia cambió seis veces de barrio en dos años. Cada grupo diseña tres intervenciones concretas apoyadas en los seis pasos e identifica qué factor protector activa cada una.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A3547"/>
          <w:sz w:val="21"/>
          <w:szCs w:val="21"/>
        </w:rPr>
        <w:t xml:space="preserve">Paso 3 — Puesta en común (5 min): </w:t>
      </w:r>
      <w:r>
        <w:rPr>
          <w:color w:val="2A3547"/>
          <w:sz w:val="21"/>
          <w:szCs w:val="21"/>
        </w:rPr>
        <w:t xml:space="preserve">sistematización de las estrategias en el pizarrón, agrupadas según los seis pasos. La docente destaca cómo cada intervención actúa a la vez sobre el niño y sobre su ambiente.</w:t>
      </w:r>
    </w:p>
    <w:p>
      <w:pPr>
        <w:spacing w:after="160" w:before="60"/>
      </w:pPr>
      <w:r>
        <w:rPr>
          <w:i/>
          <w:iCs/>
          <w:color w:val="2A3547"/>
          <w:sz w:val="19"/>
          <w:szCs w:val="19"/>
        </w:rPr>
        <w:t xml:space="preserve">Por qué funciona: </w:t>
      </w:r>
      <w:r>
        <w:rPr>
          <w:i/>
          <w:iCs/>
          <w:color w:val="2A3547"/>
          <w:sz w:val="19"/>
          <w:szCs w:val="19"/>
        </w:rPr>
        <w:t xml:space="preserve">las situaciones son cotidianas del nivel inicial y deliberadamente «sin diagnóstico»: el punto no es etiquetar a los niños sino diseñar entorno. Trabajar con los seis pasos como checklist da criterio compartido para la puesta en común.</w:t>
      </w:r>
    </w:p>
    <w:p>
      <w:pPr>
        <w:spacing w:after="60" w:before="240"/>
      </w:pPr>
      <w:r>
        <w:rPr>
          <w:b/>
          <w:bCs/>
          <w:color w:val="C4633E"/>
          <w:sz w:val="26"/>
          <w:szCs w:val="26"/>
        </w:rPr>
        <w:t xml:space="preserve">Fase 4 — Cierre: Verificar y proyectar</w:t>
      </w:r>
    </w:p>
    <w:p>
      <w:pPr>
        <w:spacing w:after="120"/>
      </w:pPr>
      <w:r>
        <w:rPr>
          <w:i/>
          <w:iCs/>
          <w:color w:val="6B7280"/>
          <w:sz w:val="19"/>
          <w:szCs w:val="19"/>
        </w:rPr>
        <w:t xml:space="preserve">Duración: 15 minutos · Formato: hinge question individual + síntesis co-construida + consigna puente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A3547"/>
          <w:sz w:val="21"/>
          <w:szCs w:val="21"/>
        </w:rPr>
        <w:t xml:space="preserve">Hinge question (5 min): </w:t>
      </w:r>
      <w:r>
        <w:rPr>
          <w:color w:val="2A3547"/>
          <w:sz w:val="21"/>
          <w:szCs w:val="21"/>
        </w:rPr>
        <w:t xml:space="preserve">Sofía (5 años) atraviesa un año familiar muy difícil. Su docente decide «no exigirle nada» y retirarle todas las demandas porque «está sufriendo mucho». ¿Qué concepto trabajado hoy permite problematizar mejor esta decisión? A) Es correcto: ante el sufrimiento hay que eliminar toda demanda · B) Sin límites claros ni objetivos retadores, esa «protección» priva a Sofía de participación significativa y experiencias de logro: los seis pasos piden afecto y desafíos alcanzables · C) La resiliencia es innata y no requiere intervención · D) Estas cuestiones son exclusivamente familiares. Votación rápida, discusión breve y devolución.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A3547"/>
          <w:sz w:val="21"/>
          <w:szCs w:val="21"/>
        </w:rPr>
        <w:t xml:space="preserve">Síntesis co-construida (5 min): </w:t>
      </w:r>
      <w:r>
        <w:rPr>
          <w:color w:val="2A3547"/>
          <w:sz w:val="21"/>
          <w:szCs w:val="21"/>
        </w:rPr>
        <w:t xml:space="preserve">reconstrucción en el pizarrón del esquema riesgo → factores protectores → resiliencia, con ejemplos aportados por las estudiantes a partir del taller.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A3547"/>
          <w:sz w:val="21"/>
          <w:szCs w:val="21"/>
        </w:rPr>
        <w:t xml:space="preserve">Consigna puente (5 min): </w:t>
      </w:r>
      <w:r>
        <w:rPr>
          <w:color w:val="2A3547"/>
          <w:sz w:val="21"/>
          <w:szCs w:val="21"/>
        </w:rPr>
        <w:t xml:space="preserve">«Mirá tu futura sala. Escribí dos gestos concretos que vas a incorporar a tu trato diario con los chicos para construir resiliencia, y a cuál de los seis pasos corresponde cada uno.» Escritura breve (½ carilla) que abriremos en la próxima clase.</w:t>
      </w:r>
    </w:p>
    <w:p>
      <w:pPr>
        <w:spacing w:after="160" w:before="60"/>
      </w:pPr>
      <w:r>
        <w:rPr>
          <w:i/>
          <w:iCs/>
          <w:color w:val="2A3547"/>
          <w:sz w:val="19"/>
          <w:szCs w:val="19"/>
        </w:rPr>
        <w:t xml:space="preserve">Por qué funciona: </w:t>
      </w:r>
      <w:r>
        <w:rPr>
          <w:i/>
          <w:iCs/>
          <w:color w:val="2A3547"/>
          <w:sz w:val="19"/>
          <w:szCs w:val="19"/>
        </w:rPr>
        <w:t xml:space="preserve">la hinge question ataca directamente el error conceptual más frecuente (confundir protección con ausencia de demandas). La escritura final traslada la teoría al proyecto profesional de cada estudiante y deja evidencia concreta de comprensión aplicada.</w:t>
      </w:r>
    </w:p>
    <w:p>
      <w:pPr>
        <w:spacing w:after="100" w:before="200"/>
      </w:pPr>
      <w:r>
        <w:rPr>
          <w:b/>
          <w:bCs/>
          <w:color w:val="22334D"/>
          <w:sz w:val="23"/>
          <w:szCs w:val="23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A3547"/>
          <w:sz w:val="21"/>
          <w:szCs w:val="21"/>
        </w:rPr>
        <w:t xml:space="preserve">Presentación de la Clase 12 (RESILIENCIA.pptx — proyector o pizarrón).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A3547"/>
          <w:sz w:val="21"/>
          <w:szCs w:val="21"/>
        </w:rPr>
        <w:t xml:space="preserve">Material de lectura de la Clase 12 (PDF/HTML, publicado en Classroom antes de la clase).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A3547"/>
          <w:sz w:val="21"/>
          <w:szCs w:val="21"/>
        </w:rPr>
        <w:t xml:space="preserve">Situaciones del taller grupal (impresas, una tanda por grupo).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A3547"/>
          <w:sz w:val="21"/>
          <w:szCs w:val="21"/>
        </w:rPr>
        <w:t xml:space="preserve">Pizarrón o papel afiche para la sistematización.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A3547"/>
          <w:sz w:val="21"/>
          <w:szCs w:val="21"/>
        </w:rPr>
        <w:t xml:space="preserve">Escrituras puente de la Clase 11 (traídas por las estudiantes).</w:t>
      </w:r>
    </w:p>
    <w:p>
      <w:pPr>
        <w:spacing w:after="100" w:before="200"/>
      </w:pPr>
      <w:r>
        <w:rPr>
          <w:b/>
          <w:bCs/>
          <w:color w:val="22334D"/>
          <w:sz w:val="23"/>
          <w:szCs w:val="23"/>
        </w:rPr>
        <w:t xml:space="preserve">Evidencias de aprendizaje de la clase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A3547"/>
          <w:sz w:val="21"/>
          <w:szCs w:val="21"/>
        </w:rPr>
        <w:t xml:space="preserve">Frase-registro «lo que la sostuvo fue…» elaborada por pareja.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A3547"/>
          <w:sz w:val="21"/>
          <w:szCs w:val="21"/>
        </w:rPr>
        <w:t xml:space="preserve">Reformulación argumentada de las frases del «aguante» (Fase 2).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A3547"/>
          <w:sz w:val="21"/>
          <w:szCs w:val="21"/>
        </w:rPr>
        <w:t xml:space="preserve">Diseño escrito de tres intervenciones por grupo, con factores protectores identificados.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A3547"/>
          <w:sz w:val="21"/>
          <w:szCs w:val="21"/>
        </w:rPr>
        <w:t xml:space="preserve">Respuesta individual justificada a la hinge question.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A3547"/>
          <w:sz w:val="21"/>
          <w:szCs w:val="21"/>
        </w:rPr>
        <w:t xml:space="preserve">Escritura breve de cierre (dos gestos + seis pasos correspondientes).</w:t>
      </w:r>
    </w:p>
    <w:p>
      <w:pPr>
        <w:spacing w:after="100" w:before="200"/>
      </w:pPr>
      <w:r>
        <w:rPr>
          <w:b/>
          <w:bCs/>
          <w:color w:val="22334D"/>
          <w:sz w:val="23"/>
          <w:szCs w:val="23"/>
        </w:rPr>
        <w:t xml:space="preserve">Nota de recorte didáctico</w:t>
      </w:r>
    </w:p>
    <w:p>
      <w:pPr>
        <w:spacing w:after="120"/>
      </w:pPr>
      <w:r>
        <w:rPr>
          <w:i/>
          <w:iCs/>
          <w:color w:val="2A3547"/>
          <w:sz w:val="20"/>
          <w:szCs w:val="20"/>
        </w:rPr>
        <w:t xml:space="preserve">El artículo de Uriarte (2006) incluye también la discusión sobre fracaso escolar y educabilidad, que en este programa se reserva íntegramente para la Unidad IV (Clase 14), donde se articula con Terigi (2009) y Baquero (2001). Aquí se privilegia el Uriarte pedagógico-institucional: factores protectores, cualidades resilientes y seis pasos. La autoestima trabajada en la Clase 11 reaparece aquí como factor protector, y los conceptos de motivación vuelven dentro de las cualidades (locus interno, atribuciones al esfuerzo): conviene hacer explícita esa continuidad durante la Fase 3.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2026-08-22T15:12:17.430Z</dcterms:created>
  <dcterms:modified xsi:type="dcterms:W3CDTF">2026-08-22T15:12:17.431Z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