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es-AR"/>
        </w:rPr>
      </w:pPr>
      <w:r>
        <w:rPr>
          <w:b w:val="false"/>
          <w:i w:val="false"/>
          <w:color w:val="2A3547"/>
          <w:sz w:val="22"/>
          <w:lang w:val="es-AR"/>
        </w:rPr>
        <w:t>PROFESORADO DE EDUCACIÓN INICIAL — 2° AÑO</w:t>
      </w:r>
    </w:p>
    <w:p>
      <w:pPr>
        <w:pStyle w:val="Normal"/>
        <w:rPr>
          <w:lang w:val="es-AR"/>
        </w:rPr>
      </w:pPr>
      <w:r>
        <w:rPr>
          <w:b w:val="false"/>
          <w:i w:val="false"/>
          <w:color w:val="2A3547"/>
          <w:sz w:val="22"/>
          <w:lang w:val="es-AR"/>
        </w:rPr>
        <w:t>Psicología Educacional</w:t>
      </w:r>
    </w:p>
    <w:p>
      <w:pPr>
        <w:pStyle w:val="Normal"/>
        <w:rPr>
          <w:lang w:val="es-AR"/>
        </w:rPr>
      </w:pPr>
      <w:r>
        <w:rPr>
          <w:b w:val="false"/>
          <w:i w:val="false"/>
          <w:color w:val="2A3547"/>
          <w:sz w:val="22"/>
          <w:lang w:val="es-AR"/>
        </w:rPr>
        <w:t>Segunda mitad del año</w:t>
      </w:r>
    </w:p>
    <w:p>
      <w:pPr>
        <w:pStyle w:val="Heading1"/>
        <w:rPr>
          <w:lang w:val="es-AR"/>
        </w:rPr>
      </w:pPr>
      <w:r>
        <w:rPr>
          <w:color w:val="22334D"/>
          <w:lang w:val="es-AR"/>
        </w:rPr>
        <w:t>Clase 13 — Aprendizaje y creatividad</w:t>
      </w:r>
    </w:p>
    <w:p>
      <w:pPr>
        <w:pStyle w:val="Normal"/>
        <w:rPr>
          <w:lang w:val="es-AR"/>
        </w:rPr>
      </w:pPr>
      <w:r>
        <w:rPr>
          <w:b w:val="false"/>
          <w:i/>
          <w:color w:val="2A3547"/>
          <w:sz w:val="24"/>
          <w:lang w:val="es-AR"/>
        </w:rPr>
        <w:t>¿Las escuelas matan la creatividad? Las cuatro pes y el clima del aula</w:t>
      </w:r>
    </w:p>
    <w:p>
      <w:pPr>
        <w:pStyle w:val="Normal"/>
        <w:rPr>
          <w:lang w:val="es-AR"/>
        </w:rPr>
      </w:pPr>
      <w:r>
        <w:rPr>
          <w:b w:val="false"/>
          <w:i w:val="false"/>
          <w:color w:val="2A3547"/>
          <w:sz w:val="22"/>
          <w:lang w:val="es-AR"/>
        </w:rPr>
        <w:t>Duración: 80 minutos · Viernes 25 de septiembre de 2026</w:t>
      </w:r>
    </w:p>
    <w:p>
      <w:pPr>
        <w:pStyle w:val="Heading1"/>
        <w:rPr>
          <w:lang w:val="es-AR"/>
        </w:rPr>
      </w:pPr>
      <w:r>
        <w:rPr>
          <w:color w:val="22334D"/>
          <w:lang w:val="es-AR"/>
        </w:rPr>
        <w:t>Objetivos de la clase</w:t>
      </w:r>
    </w:p>
    <w:p>
      <w:pPr>
        <w:pStyle w:val="ListBullet"/>
        <w:numPr>
          <w:ilvl w:val="0"/>
          <w:numId w:val="1"/>
        </w:numPr>
        <w:rPr>
          <w:lang w:val="es-AR"/>
        </w:rPr>
      </w:pPr>
      <w:r>
        <w:rPr>
          <w:color w:val="2A3547"/>
          <w:sz w:val="22"/>
          <w:lang w:val="es-AR"/>
        </w:rPr>
        <w:t>Comprender la creatividad como capacidad general implicada en el aprendizaje, no como don excepcional ni atributo exclusivamente artístico.</w:t>
      </w:r>
    </w:p>
    <w:p>
      <w:pPr>
        <w:pStyle w:val="ListBullet"/>
        <w:numPr>
          <w:ilvl w:val="0"/>
          <w:numId w:val="1"/>
        </w:numPr>
        <w:rPr>
          <w:lang w:val="es-AR"/>
        </w:rPr>
      </w:pPr>
      <w:r>
        <w:rPr>
          <w:color w:val="2A3547"/>
          <w:sz w:val="22"/>
          <w:lang w:val="es-AR"/>
        </w:rPr>
        <w:t>Conocer el marco de las cuatro pes (persona, proceso, producto y clima) como herramienta para analizar la creatividad en contextos educativos.</w:t>
      </w:r>
    </w:p>
    <w:p>
      <w:pPr>
        <w:pStyle w:val="ListBullet"/>
        <w:numPr>
          <w:ilvl w:val="0"/>
          <w:numId w:val="1"/>
        </w:numPr>
        <w:rPr>
          <w:lang w:val="es-AR"/>
        </w:rPr>
      </w:pPr>
      <w:r>
        <w:rPr>
          <w:color w:val="2A3547"/>
          <w:sz w:val="22"/>
          <w:lang w:val="es-AR"/>
        </w:rPr>
        <w:t>Analizar críticamente prácticas escolares habituales que fomentan o sofocan la creatividad (Dabdoub; Robinson).</w:t>
      </w:r>
    </w:p>
    <w:p>
      <w:pPr>
        <w:pStyle w:val="ListBullet"/>
        <w:numPr>
          <w:ilvl w:val="0"/>
          <w:numId w:val="1"/>
        </w:numPr>
        <w:rPr>
          <w:lang w:val="es-AR"/>
        </w:rPr>
      </w:pPr>
      <w:r>
        <w:rPr>
          <w:color w:val="2A3547"/>
          <w:sz w:val="22"/>
          <w:lang w:val="es-AR"/>
        </w:rPr>
        <w:t>Rediseñar situaciones de sala aplicando criterios de clima creativo propios del nivel inicial.</w:t>
      </w:r>
    </w:p>
    <w:p>
      <w:pPr>
        <w:pStyle w:val="Heading1"/>
        <w:rPr>
          <w:lang w:val="es-AR"/>
        </w:rPr>
      </w:pPr>
      <w:r>
        <w:rPr>
          <w:color w:val="22334D"/>
          <w:lang w:val="es-AR"/>
        </w:rPr>
        <w:t>Desarrollo</w:t>
      </w:r>
    </w:p>
    <w:p>
      <w:pPr>
        <w:pStyle w:val="Normal"/>
        <w:rPr>
          <w:lang w:val="es-AR"/>
        </w:rPr>
      </w:pPr>
      <w:r>
        <w:rPr>
          <w:b/>
          <w:i w:val="false"/>
          <w:color w:val="2A3547"/>
          <w:sz w:val="24"/>
          <w:lang w:val="es-AR"/>
        </w:rPr>
        <w:t>Fase 1: Apertura — Recuperación y encuadre (10 min)</w:t>
      </w:r>
    </w:p>
    <w:p>
      <w:pPr>
        <w:pStyle w:val="Normal"/>
        <w:rPr>
          <w:lang w:val="es-AR"/>
        </w:rPr>
      </w:pPr>
      <w:r>
        <w:rPr>
          <w:b w:val="false"/>
          <w:i w:val="false"/>
          <w:color w:val="2A3547"/>
          <w:sz w:val="22"/>
          <w:lang w:val="es-AR"/>
        </w:rPr>
        <w:t>Objetivo de la apertura: recuperar las escrituras puente de la Clase 12 y encuadrar la pregunta de la clase: ¿qué hace la escuela con la creatividad?</w:t>
      </w:r>
    </w:p>
    <w:p>
      <w:pPr>
        <w:pStyle w:val="Normal"/>
        <w:rPr>
          <w:lang w:val="es-AR"/>
        </w:rPr>
      </w:pPr>
      <w:r>
        <w:rPr>
          <w:b w:val="false"/>
          <w:i w:val="false"/>
          <w:color w:val="2A3547"/>
          <w:sz w:val="22"/>
          <w:lang w:val="es-AR"/>
        </w:rPr>
        <w:t>Materiales: escrituras puente devueltas; diapositivas 3–5.</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80"/>
        <w:gridCol w:w="2880"/>
        <w:gridCol w:w="2880"/>
      </w:tblGrid>
      <w:tr>
        <w:trPr/>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b/>
                <w:kern w:val="0"/>
                <w:sz w:val="20"/>
                <w:szCs w:val="22"/>
                <w:lang w:val="es-AR" w:eastAsia="en-US" w:bidi="ar-SA"/>
              </w:rPr>
              <w:t>Tiempo</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b/>
                <w:kern w:val="0"/>
                <w:sz w:val="20"/>
                <w:szCs w:val="22"/>
                <w:lang w:val="es-AR" w:eastAsia="en-US" w:bidi="ar-SA"/>
              </w:rPr>
              <w:t>Actividad</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b/>
                <w:kern w:val="0"/>
                <w:sz w:val="20"/>
                <w:szCs w:val="22"/>
                <w:lang w:val="es-AR" w:eastAsia="en-US" w:bidi="ar-SA"/>
              </w:rPr>
              <w:t>Descripción</w:t>
            </w:r>
          </w:p>
        </w:tc>
      </w:tr>
      <w:tr>
        <w:trPr/>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0–3 min</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Do Now</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Releen su escritura puente de la Clase 12 («dos gestos para construir resiliencia en tu futura sala») y marcan con color cuál de los dos gestos tiene más que ver con crear: proponer, inventar, expresar algo propio.</w:t>
            </w:r>
          </w:p>
        </w:tc>
      </w:tr>
      <w:tr>
        <w:trPr/>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3–6 min</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Share en parejas</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Comparan lo marcado. La docente circula y anota ideas clave en el pizarrón.</w:t>
            </w:r>
          </w:p>
        </w:tc>
      </w:tr>
      <w:tr>
        <w:trPr/>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6–8 min</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Puesta en común</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3–4 voces. Pregunta heredada de la Clase 12: «una sala que permite equivocarse, ¿es la misma que permite crear?». Sistematización: resiliencia y creatividad comparten terreno —el error tratado con dignidad—.</w:t>
            </w:r>
          </w:p>
        </w:tc>
      </w:tr>
      <w:tr>
        <w:trPr/>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8–10 min</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Intención de aprendizaje</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«Hoy vamos a responder si la creatividad se enseña o se mata en la escuela —y qué podemos hacer nosotras.»</w:t>
            </w:r>
          </w:p>
        </w:tc>
      </w:tr>
    </w:tbl>
    <w:p>
      <w:pPr>
        <w:pStyle w:val="Normal"/>
        <w:rPr>
          <w:lang w:val="es-AR"/>
        </w:rPr>
      </w:pPr>
      <w:r>
        <w:rPr>
          <w:lang w:val="es-AR"/>
        </w:rPr>
      </w:r>
    </w:p>
    <w:p>
      <w:pPr>
        <w:pStyle w:val="Normal"/>
        <w:rPr>
          <w:lang w:val="es-AR"/>
        </w:rPr>
      </w:pPr>
      <w:r>
        <w:rPr>
          <w:b/>
          <w:i w:val="false"/>
          <w:color w:val="2A3547"/>
          <w:sz w:val="24"/>
          <w:lang w:val="es-AR"/>
        </w:rPr>
        <w:t>Fase 2: Marco conceptual — ¿Qué es la creatividad? (17 min)</w:t>
      </w:r>
    </w:p>
    <w:p>
      <w:pPr>
        <w:pStyle w:val="Normal"/>
        <w:rPr>
          <w:lang w:val="es-AR"/>
        </w:rPr>
      </w:pPr>
      <w:r>
        <w:rPr>
          <w:b w:val="false"/>
          <w:i w:val="false"/>
          <w:color w:val="2A3547"/>
          <w:sz w:val="22"/>
          <w:lang w:val="es-AR"/>
        </w:rPr>
        <w:t>Objetivo: construir el concepto, derribar mitos y presentar el marco de las cuatro pes. Verificar comprensión con hinge question.</w:t>
      </w:r>
    </w:p>
    <w:p>
      <w:pPr>
        <w:pStyle w:val="Normal"/>
        <w:rPr>
          <w:lang w:val="es-AR"/>
        </w:rPr>
      </w:pPr>
      <w:r>
        <w:rPr>
          <w:b w:val="false"/>
          <w:i w:val="false"/>
          <w:color w:val="2A3547"/>
          <w:sz w:val="22"/>
          <w:lang w:val="es-AR"/>
        </w:rPr>
        <w:t>Materiales: diapositivas 6–10; material de lectura (secciones 1 y 2).</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80"/>
        <w:gridCol w:w="2880"/>
        <w:gridCol w:w="2880"/>
      </w:tblGrid>
      <w:tr>
        <w:trPr/>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b/>
                <w:kern w:val="0"/>
                <w:sz w:val="20"/>
                <w:szCs w:val="22"/>
                <w:lang w:val="es-AR" w:eastAsia="en-US" w:bidi="ar-SA"/>
              </w:rPr>
              <w:t>Tiempo</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b/>
                <w:kern w:val="0"/>
                <w:sz w:val="20"/>
                <w:szCs w:val="22"/>
                <w:lang w:val="es-AR" w:eastAsia="en-US" w:bidi="ar-SA"/>
              </w:rPr>
              <w:t>Actividad</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b/>
                <w:kern w:val="0"/>
                <w:sz w:val="20"/>
                <w:szCs w:val="22"/>
                <w:lang w:val="es-AR" w:eastAsia="en-US" w:bidi="ar-SA"/>
              </w:rPr>
              <w:t>Descripción</w:t>
            </w:r>
          </w:p>
        </w:tc>
      </w:tr>
      <w:tr>
        <w:trPr/>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10–15 min</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El experimento de los conejos</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Se narran las dos escenas que abre el artículo de Dabdoub (recuadro de la ficha). Pregunta: ¿en qué escena había creatividad? ¿Qué era, entonces, la otra?</w:t>
            </w:r>
          </w:p>
        </w:tc>
      </w:tr>
      <w:tr>
        <w:trPr/>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15–20 min</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Definición y mitos</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Exposición dialogada. Puntos en común: transformar la realidad, carácter original, habilidades + actitudes, comunicación del producto. Derriba mitos: no es don de pocos, no es solo arte (Robinson: jerarquía de materias), ejecución hábil ≠ producto creativo.</w:t>
            </w:r>
          </w:p>
        </w:tc>
      </w:tr>
      <w:tr>
        <w:trPr/>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20–24 min</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Panorámica de las cuatro pes</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Persona, proceso, producto, clima: una frase por p, con ejemplos rápidos de sala.</w:t>
            </w:r>
          </w:p>
        </w:tc>
      </w:tr>
      <w:tr>
        <w:trPr/>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24–27 min</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EVALUACIÓN FORMATIVA: Hinge question</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Voto con dedos. «En el jardín, 20 niños recortan el mismo conejo siguiendo el modelo de la maestra. Los conejos salieron impecables. ¿Son productos creativos?» 1) Sí, porque hubo esfuerzo y habilidad. 2) No, porque les falta novedad respecto del modelo. 3) Sí, porque la creatividad está en la persona aunque copie. 4) No, porque la creatividad solo cuenta en el arte. Correcta: opción 2.</w:t>
            </w:r>
          </w:p>
        </w:tc>
      </w:tr>
    </w:tbl>
    <w:p>
      <w:pPr>
        <w:pStyle w:val="Normal"/>
        <w:rPr>
          <w:lang w:val="es-AR"/>
        </w:rPr>
      </w:pPr>
      <w:r>
        <w:rPr>
          <w:lang w:val="es-AR"/>
        </w:rPr>
      </w:r>
    </w:p>
    <w:p>
      <w:pPr>
        <w:pStyle w:val="Normal"/>
        <w:rPr>
          <w:lang w:val="es-AR"/>
        </w:rPr>
      </w:pPr>
      <w:r>
        <w:rPr>
          <w:b/>
          <w:i w:val="false"/>
          <w:color w:val="2A3547"/>
          <w:sz w:val="24"/>
          <w:lang w:val="es-AR"/>
        </w:rPr>
        <w:t>Fase 3: Expertas en las cuatro pes (28 min)</w:t>
      </w:r>
    </w:p>
    <w:p>
      <w:pPr>
        <w:pStyle w:val="Normal"/>
        <w:rPr>
          <w:lang w:val="es-AR"/>
        </w:rPr>
      </w:pPr>
      <w:r>
        <w:rPr>
          <w:b w:val="false"/>
          <w:i w:val="false"/>
          <w:color w:val="2A3547"/>
          <w:sz w:val="22"/>
          <w:lang w:val="es-AR"/>
        </w:rPr>
        <w:t>Objetivo: profundizar cada dimensión del marco mediante trabajo experto y enseñanza entre pares, conectando la ficha de lectura con las citas de Robinson.</w:t>
      </w:r>
    </w:p>
    <w:p>
      <w:pPr>
        <w:pStyle w:val="Normal"/>
        <w:rPr>
          <w:lang w:val="es-AR"/>
        </w:rPr>
      </w:pPr>
      <w:r>
        <w:rPr>
          <w:b w:val="false"/>
          <w:i w:val="false"/>
          <w:color w:val="2A3547"/>
          <w:sz w:val="22"/>
          <w:lang w:val="es-AR"/>
        </w:rPr>
        <w:t>Materiales: material de lectura (sección 2); citas de Robinson (una por p, impresas); papelógrafo y marcadores por mesa.</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80"/>
        <w:gridCol w:w="2880"/>
        <w:gridCol w:w="2880"/>
      </w:tblGrid>
      <w:tr>
        <w:trPr/>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b/>
                <w:kern w:val="0"/>
                <w:sz w:val="20"/>
                <w:szCs w:val="22"/>
                <w:lang w:val="es-AR" w:eastAsia="en-US" w:bidi="ar-SA"/>
              </w:rPr>
              <w:t>Tiempo</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b/>
                <w:kern w:val="0"/>
                <w:sz w:val="20"/>
                <w:szCs w:val="22"/>
                <w:lang w:val="es-AR" w:eastAsia="en-US" w:bidi="ar-SA"/>
              </w:rPr>
              <w:t>Actividad</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b/>
                <w:kern w:val="0"/>
                <w:sz w:val="20"/>
                <w:szCs w:val="22"/>
                <w:lang w:val="es-AR" w:eastAsia="en-US" w:bidi="ar-SA"/>
              </w:rPr>
              <w:t>Descripción</w:t>
            </w:r>
          </w:p>
        </w:tc>
      </w:tr>
      <w:tr>
        <w:trPr/>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27–30 min</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Consigna y roles</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Cada mesa se especializa en una p: Persona (mesas 1 y 2), Proceso (3 y 4), Producto (5), Clima (6 y 7). Roles: moderadora, escribanas, presentadoras.</w:t>
            </w:r>
          </w:p>
        </w:tc>
      </w:tr>
      <w:tr>
        <w:trPr/>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30–42 min</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Trabajo experto</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Con la sección 2 de la ficha y su cita de Robinson, cada mesa produce un papelógrafo: definición en una frase + ejemplo concreto de sala + un "asesino de creatividad" relacionado (de la sección 3).</w:t>
            </w:r>
          </w:p>
        </w:tc>
      </w:tr>
      <w:tr>
        <w:trPr/>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42–50 min</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Presentación de expertas</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Exponen por p (no por mesa): Persona, Proceso, Producto y Clima, 2 minutos cada una, apoyándose en el papelógrafo.</w:t>
            </w:r>
          </w:p>
        </w:tc>
      </w:tr>
      <w:tr>
        <w:trPr/>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50–55 min</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Integración docente</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Mapa completo en el pizarrón: las 4P funcionan juntas; el clima es la p que el docente más puede mover. Devolución del hinge si hizo falta re-teach.</w:t>
            </w:r>
          </w:p>
        </w:tc>
      </w:tr>
    </w:tbl>
    <w:p>
      <w:pPr>
        <w:pStyle w:val="Normal"/>
        <w:rPr>
          <w:lang w:val="es-AR"/>
        </w:rPr>
      </w:pPr>
      <w:r>
        <w:rPr>
          <w:lang w:val="es-AR"/>
        </w:rPr>
      </w:r>
    </w:p>
    <w:p>
      <w:pPr>
        <w:pStyle w:val="Normal"/>
        <w:rPr>
          <w:lang w:val="es-AR"/>
        </w:rPr>
      </w:pPr>
      <w:r>
        <w:rPr>
          <w:b/>
          <w:i w:val="false"/>
          <w:color w:val="2A3547"/>
          <w:sz w:val="24"/>
          <w:lang w:val="es-AR"/>
        </w:rPr>
        <w:t>Fase 4: Auditoría del aula — rediseñar con criterio (20 min)</w:t>
      </w:r>
    </w:p>
    <w:p>
      <w:pPr>
        <w:pStyle w:val="Normal"/>
        <w:rPr>
          <w:lang w:val="es-AR"/>
        </w:rPr>
      </w:pPr>
      <w:r>
        <w:rPr>
          <w:b w:val="false"/>
          <w:i w:val="false"/>
          <w:color w:val="2A3547"/>
          <w:sz w:val="22"/>
          <w:lang w:val="es-AR"/>
        </w:rPr>
        <w:t>Objetivo: aplicar el marco para diagnosticar prácticas que sofocan la creatividad y rediseñarlas con dimensiones del clima (Ekvall).</w:t>
      </w:r>
    </w:p>
    <w:p>
      <w:pPr>
        <w:pStyle w:val="Normal"/>
        <w:rPr>
          <w:lang w:val="es-AR"/>
        </w:rPr>
      </w:pPr>
      <w:r>
        <w:rPr>
          <w:b w:val="false"/>
          <w:i w:val="false"/>
          <w:color w:val="2A3547"/>
          <w:sz w:val="22"/>
          <w:lang w:val="es-AR"/>
        </w:rPr>
        <w:t>Materiales: tarjetas de auditoría (1 juego por mesa, con cita de Robinson); diapositivas 14–16.</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80"/>
        <w:gridCol w:w="2880"/>
        <w:gridCol w:w="2880"/>
      </w:tblGrid>
      <w:tr>
        <w:trPr/>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b/>
                <w:kern w:val="0"/>
                <w:sz w:val="20"/>
                <w:szCs w:val="22"/>
                <w:lang w:val="es-AR" w:eastAsia="en-US" w:bidi="ar-SA"/>
              </w:rPr>
              <w:t>Tiempo</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b/>
                <w:kern w:val="0"/>
                <w:sz w:val="20"/>
                <w:szCs w:val="22"/>
                <w:lang w:val="es-AR" w:eastAsia="en-US" w:bidi="ar-SA"/>
              </w:rPr>
              <w:t>Actividad</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b/>
                <w:kern w:val="0"/>
                <w:sz w:val="20"/>
                <w:szCs w:val="22"/>
                <w:lang w:val="es-AR" w:eastAsia="en-US" w:bidi="ar-SA"/>
              </w:rPr>
              <w:t>Descripción</w:t>
            </w:r>
          </w:p>
        </w:tc>
      </w:tr>
      <w:tr>
        <w:trPr/>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55–59 min</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Planteo Robinson</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Citas proyectadas: miedo al error, jerarquía de materias, Picasso. Idea fuerza: «la escuela no es neutral frente a la creatividad». Presentación de la consigna de auditoría.</w:t>
            </w:r>
          </w:p>
        </w:tc>
      </w:tr>
      <w:tr>
        <w:trPr/>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59–70 min</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Taller de auditoría</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Cada mesa recibe 2 tarjetas con situaciones típicas de jardín. Para cada situación: diagnosticar qué p se sofoca y rediseñar UNA acción concreta activando dimensiones del clima.</w:t>
            </w:r>
          </w:p>
        </w:tc>
      </w:tr>
      <w:tr>
        <w:trPr/>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70–75 min</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Puesta en común relámpago</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Cada mesa comparte su mejor rediseño en 20 segundos. La docente nombra qué dimensión de Ekvall activa cada propuesta.</w:t>
            </w:r>
          </w:p>
        </w:tc>
      </w:tr>
    </w:tbl>
    <w:p>
      <w:pPr>
        <w:pStyle w:val="Normal"/>
        <w:rPr>
          <w:lang w:val="es-AR"/>
        </w:rPr>
      </w:pPr>
      <w:r>
        <w:rPr>
          <w:lang w:val="es-AR"/>
        </w:rPr>
      </w:r>
    </w:p>
    <w:p>
      <w:pPr>
        <w:pStyle w:val="Normal"/>
        <w:rPr>
          <w:lang w:val="es-AR"/>
        </w:rPr>
      </w:pPr>
      <w:r>
        <w:rPr>
          <w:b/>
          <w:i w:val="false"/>
          <w:color w:val="2A3547"/>
          <w:sz w:val="24"/>
          <w:lang w:val="es-AR"/>
        </w:rPr>
        <w:t>Cierre y consigna puente (5 min)</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80"/>
        <w:gridCol w:w="2880"/>
        <w:gridCol w:w="2880"/>
      </w:tblGrid>
      <w:tr>
        <w:trPr/>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b/>
                <w:kern w:val="0"/>
                <w:sz w:val="20"/>
                <w:szCs w:val="22"/>
                <w:lang w:val="es-AR" w:eastAsia="en-US" w:bidi="ar-SA"/>
              </w:rPr>
              <w:t>Tiempo</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b/>
                <w:kern w:val="0"/>
                <w:sz w:val="20"/>
                <w:szCs w:val="22"/>
                <w:lang w:val="es-AR" w:eastAsia="en-US" w:bidi="ar-SA"/>
              </w:rPr>
              <w:t>Actividad</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b/>
                <w:kern w:val="0"/>
                <w:sz w:val="20"/>
                <w:szCs w:val="22"/>
                <w:lang w:val="es-AR" w:eastAsia="en-US" w:bidi="ar-SA"/>
              </w:rPr>
              <w:t>Descripción</w:t>
            </w:r>
          </w:p>
        </w:tc>
      </w:tr>
      <w:tr>
        <w:trPr/>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75–78 min</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Ideas para llevarse</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Cinco síntesis proyectadas (diapositiva 17). Lectura rápida coral o por voces voluntarias.</w:t>
            </w:r>
          </w:p>
        </w:tc>
      </w:tr>
      <w:tr>
        <w:trPr/>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78–80 min</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Consigna puente</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Proyección de la consigna para la próxima clase y recordatorio de lectura.</w:t>
            </w:r>
          </w:p>
        </w:tc>
      </w:tr>
    </w:tbl>
    <w:p>
      <w:pPr>
        <w:pStyle w:val="Normal"/>
        <w:rPr>
          <w:lang w:val="es-AR"/>
        </w:rPr>
      </w:pPr>
      <w:r>
        <w:rPr>
          <w:lang w:val="es-AR"/>
        </w:rPr>
      </w:r>
    </w:p>
    <w:p>
      <w:pPr>
        <w:pStyle w:val="Heading1"/>
        <w:rPr>
          <w:lang w:val="es-AR"/>
        </w:rPr>
      </w:pPr>
      <w:r>
        <w:rPr>
          <w:color w:val="22334D"/>
          <w:lang w:val="es-AR"/>
        </w:rPr>
        <w:t>Materiales necesarios</w:t>
      </w:r>
    </w:p>
    <w:p>
      <w:pPr>
        <w:pStyle w:val="ListBullet"/>
        <w:numPr>
          <w:ilvl w:val="0"/>
          <w:numId w:val="1"/>
        </w:numPr>
        <w:rPr>
          <w:lang w:val="es-AR"/>
        </w:rPr>
      </w:pPr>
      <w:r>
        <w:rPr>
          <w:color w:val="2A3547"/>
          <w:sz w:val="22"/>
          <w:lang w:val="es-AR"/>
        </w:rPr>
        <w:t>Clase13_Presentacion_Proyector.html (proyector o TV)</w:t>
      </w:r>
    </w:p>
    <w:p>
      <w:pPr>
        <w:pStyle w:val="ListBullet"/>
        <w:numPr>
          <w:ilvl w:val="0"/>
          <w:numId w:val="1"/>
        </w:numPr>
        <w:rPr>
          <w:lang w:val="es-AR"/>
        </w:rPr>
      </w:pPr>
      <w:r>
        <w:rPr>
          <w:color w:val="2A3547"/>
          <w:sz w:val="22"/>
          <w:lang w:val="es-AR"/>
        </w:rPr>
        <w:t>Material de lectura Clase 13 (PDF/DOCX): 1 juego cada 2 estudiantes (~11 copias) o digital en el celular</w:t>
      </w:r>
    </w:p>
    <w:p>
      <w:pPr>
        <w:pStyle w:val="ListBullet"/>
        <w:numPr>
          <w:ilvl w:val="0"/>
          <w:numId w:val="1"/>
        </w:numPr>
        <w:rPr>
          <w:lang w:val="es-AR"/>
        </w:rPr>
      </w:pPr>
      <w:r>
        <w:rPr>
          <w:color w:val="2A3547"/>
          <w:sz w:val="22"/>
          <w:lang w:val="es-AR"/>
        </w:rPr>
        <w:t>Tarjetas_Auditoria_Clase13.docx recortadas: 1 juego de 8 situaciones por mesa (7 juegos) + clave de respuestas para vos</w:t>
      </w:r>
    </w:p>
    <w:p>
      <w:pPr>
        <w:pStyle w:val="ListBullet"/>
        <w:numPr>
          <w:ilvl w:val="0"/>
          <w:numId w:val="1"/>
        </w:numPr>
        <w:rPr>
          <w:lang w:val="es-AR"/>
        </w:rPr>
      </w:pPr>
      <w:r>
        <w:rPr>
          <w:color w:val="2A3547"/>
          <w:sz w:val="22"/>
          <w:lang w:val="es-AR"/>
        </w:rPr>
        <w:t>Papelógrafo o media carta por mesa (7 hojas) + marcadores de colores</w:t>
      </w:r>
    </w:p>
    <w:p>
      <w:pPr>
        <w:pStyle w:val="ListBullet"/>
        <w:numPr>
          <w:ilvl w:val="0"/>
          <w:numId w:val="1"/>
        </w:numPr>
        <w:rPr>
          <w:lang w:val="es-AR"/>
        </w:rPr>
      </w:pPr>
      <w:r>
        <w:rPr>
          <w:color w:val="2A3547"/>
          <w:sz w:val="22"/>
          <w:lang w:val="es-AR"/>
        </w:rPr>
        <w:t>Consignas puente impresas: 21 copias (opcional, digital)</w:t>
      </w:r>
    </w:p>
    <w:p>
      <w:pPr>
        <w:pStyle w:val="Heading1"/>
        <w:rPr>
          <w:lang w:val="es-AR"/>
        </w:rPr>
      </w:pPr>
      <w:r>
        <w:rPr>
          <w:color w:val="22334D"/>
          <w:lang w:val="es-AR"/>
        </w:rPr>
        <w:t>Evaluación formativa</w:t>
      </w:r>
    </w:p>
    <w:p>
      <w:pPr>
        <w:pStyle w:val="Normal"/>
        <w:rPr>
          <w:lang w:val="es-AR"/>
        </w:rPr>
      </w:pPr>
      <w:r>
        <w:rPr>
          <w:b w:val="false"/>
          <w:i w:val="false"/>
          <w:color w:val="2A3547"/>
          <w:sz w:val="22"/>
          <w:lang w:val="es-AR"/>
        </w:rPr>
        <w:t>La clase incluye tres momentos de evaluación formativa:</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80"/>
        <w:gridCol w:w="2880"/>
        <w:gridCol w:w="2880"/>
      </w:tblGrid>
      <w:tr>
        <w:trPr/>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b/>
                <w:kern w:val="0"/>
                <w:sz w:val="20"/>
                <w:szCs w:val="22"/>
                <w:lang w:val="es-AR" w:eastAsia="en-US" w:bidi="ar-SA"/>
              </w:rPr>
              <w:t>Momento</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b/>
                <w:kern w:val="0"/>
                <w:sz w:val="20"/>
                <w:szCs w:val="22"/>
                <w:lang w:val="es-AR" w:eastAsia="en-US" w:bidi="ar-SA"/>
              </w:rPr>
              <w:t>Técnica</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b/>
                <w:kern w:val="0"/>
                <w:sz w:val="20"/>
                <w:szCs w:val="22"/>
                <w:lang w:val="es-AR" w:eastAsia="en-US" w:bidi="ar-SA"/>
              </w:rPr>
              <w:t>Qué evalúa</w:t>
            </w:r>
          </w:p>
        </w:tc>
      </w:tr>
      <w:tr>
        <w:trPr/>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Min 24–27 (post-marco)</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Hinge question con dedos</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¿Comprendieron los criterios de novedad/originalidad y que la ejecución hábil sobre un modelo ajeno no es creatividad?</w:t>
            </w:r>
          </w:p>
        </w:tc>
      </w:tr>
      <w:tr>
        <w:trPr/>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Min 42–50 (post-expertas)</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Presentaciones por p</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¿Pueden definir su p con lenguaje propio y aplicarla a situaciones concretas de sala?</w:t>
            </w:r>
          </w:p>
        </w:tc>
      </w:tr>
      <w:tr>
        <w:trPr/>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Min 70–75 (post-auditoría)</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Puesta en común relámpago</w:t>
            </w:r>
          </w:p>
        </w:tc>
        <w:tc>
          <w:tcPr>
            <w:tcW w:w="2880" w:type="dxa"/>
            <w:tcBorders/>
          </w:tcPr>
          <w:p>
            <w:pPr>
              <w:pStyle w:val="Normal"/>
              <w:widowControl/>
              <w:spacing w:lineRule="auto" w:line="240" w:before="0" w:after="0"/>
              <w:jc w:val="start"/>
              <w:rPr>
                <w:rFonts w:eastAsia="ＭＳ 明朝" w:cs=""/>
                <w:kern w:val="0"/>
                <w:sz w:val="22"/>
                <w:szCs w:val="22"/>
                <w:lang w:val="es-AR" w:eastAsia="en-US" w:bidi="ar-SA"/>
              </w:rPr>
            </w:pPr>
            <w:r>
              <w:rPr>
                <w:rFonts w:eastAsia="ＭＳ 明朝" w:cs=""/>
                <w:kern w:val="0"/>
                <w:sz w:val="20"/>
                <w:szCs w:val="22"/>
                <w:lang w:val="es-AR" w:eastAsia="en-US" w:bidi="ar-SA"/>
              </w:rPr>
              <w:t>¿Rediseñan activando dimensiones específicas del clima y no consejos genéricos tipo "ser más flexibles"?</w:t>
            </w:r>
          </w:p>
        </w:tc>
      </w:tr>
    </w:tbl>
    <w:p>
      <w:pPr>
        <w:pStyle w:val="Normal"/>
        <w:rPr>
          <w:lang w:val="es-AR"/>
        </w:rPr>
      </w:pPr>
      <w:r>
        <w:rPr>
          <w:lang w:val="es-AR"/>
        </w:rPr>
      </w:r>
    </w:p>
    <w:p>
      <w:pPr>
        <w:pStyle w:val="Heading1"/>
        <w:rPr>
          <w:lang w:val="es-AR"/>
        </w:rPr>
      </w:pPr>
      <w:r>
        <w:rPr>
          <w:color w:val="22334D"/>
          <w:lang w:val="es-AR"/>
        </w:rPr>
        <w:t>Para la próxima clase (Clase 14 — Fracaso escolar y educabilidad)</w:t>
      </w:r>
    </w:p>
    <w:p>
      <w:pPr>
        <w:pStyle w:val="Normal"/>
        <w:rPr>
          <w:lang w:val="es-AR"/>
        </w:rPr>
      </w:pPr>
      <w:r>
        <w:rPr>
          <w:b/>
          <w:i w:val="false"/>
          <w:color w:val="2A3547"/>
          <w:sz w:val="22"/>
          <w:lang w:val="es-AR"/>
        </w:rPr>
        <w:t>Consigna de reflexión escrita (½ carilla):</w:t>
      </w:r>
    </w:p>
    <w:p>
      <w:pPr>
        <w:pStyle w:val="Normal"/>
        <w:rPr>
          <w:lang w:val="es-AR"/>
        </w:rPr>
      </w:pPr>
      <w:r>
        <w:rPr>
          <w:b w:val="false"/>
          <w:i w:val="false"/>
          <w:color w:val="2A3547"/>
          <w:sz w:val="22"/>
          <w:lang w:val="es-AR"/>
        </w:rPr>
        <w:t>«Pensá en alguien de tu historia escolar etiquetado como "mal alumno". ¿Qué capacidades tenía que la escuela no vio? ¿Qué habría pasado si un docente hubiera mirado sus producciones con ojos creativos?»</w:t>
      </w:r>
    </w:p>
    <w:p>
      <w:pPr>
        <w:pStyle w:val="Normal"/>
        <w:rPr>
          <w:lang w:val="es-AR"/>
        </w:rPr>
      </w:pPr>
      <w:r>
        <w:rPr>
          <w:b w:val="false"/>
          <w:i w:val="false"/>
          <w:color w:val="2A3547"/>
          <w:sz w:val="22"/>
          <w:lang w:val="es-AR"/>
        </w:rPr>
        <w:t>Esta escritura será el punto de partida para la Clase 14: concepciones sobre el fracaso escolar y la educabilidad.</w:t>
      </w:r>
    </w:p>
    <w:p>
      <w:pPr>
        <w:pStyle w:val="Heading1"/>
        <w:rPr>
          <w:lang w:val="es-AR"/>
        </w:rPr>
      </w:pPr>
      <w:r>
        <w:rPr>
          <w:color w:val="22334D"/>
          <w:lang w:val="es-AR"/>
        </w:rPr>
        <w:t>Referencias</w:t>
      </w:r>
    </w:p>
    <w:p>
      <w:pPr>
        <w:pStyle w:val="ListBullet"/>
        <w:numPr>
          <w:ilvl w:val="0"/>
          <w:numId w:val="1"/>
        </w:numPr>
        <w:rPr>
          <w:lang w:val="es-AR"/>
        </w:rPr>
      </w:pPr>
      <w:r>
        <w:rPr>
          <w:color w:val="2A3547"/>
          <w:sz w:val="22"/>
          <w:lang w:val="es-AR"/>
        </w:rPr>
        <w:t>Csikszentmihalyi, M. (1990). Flow: The psychology of optimal experience. Nueva York: Harper &amp; Row.</w:t>
      </w:r>
    </w:p>
    <w:p>
      <w:pPr>
        <w:pStyle w:val="ListBullet"/>
        <w:numPr>
          <w:ilvl w:val="0"/>
          <w:numId w:val="1"/>
        </w:numPr>
        <w:rPr>
          <w:lang w:val="es-AR"/>
        </w:rPr>
      </w:pPr>
      <w:r>
        <w:rPr>
          <w:color w:val="2A3547"/>
          <w:sz w:val="22"/>
          <w:lang w:val="es-AR"/>
        </w:rPr>
        <w:t>Dabdoub Alvarado, L. «La creatividad en la escuela: ¿una especie en peligro de extinción?». Innovación Educativa, México.</w:t>
      </w:r>
    </w:p>
    <w:p>
      <w:pPr>
        <w:pStyle w:val="ListBullet"/>
        <w:numPr>
          <w:ilvl w:val="0"/>
          <w:numId w:val="1"/>
        </w:numPr>
        <w:rPr>
          <w:lang w:val="es-AR"/>
        </w:rPr>
      </w:pPr>
      <w:r>
        <w:rPr>
          <w:color w:val="2A3547"/>
          <w:sz w:val="22"/>
          <w:lang w:val="es-AR"/>
        </w:rPr>
        <w:t>Ekvall, G. (1983). Climate, structure and innovativeness of organizations. Estocolmo: The Swedish Council for Management and Organizational Behavior.</w:t>
      </w:r>
    </w:p>
    <w:p>
      <w:pPr>
        <w:pStyle w:val="ListBullet"/>
        <w:numPr>
          <w:ilvl w:val="0"/>
          <w:numId w:val="1"/>
        </w:numPr>
        <w:rPr>
          <w:lang w:val="es-AR"/>
        </w:rPr>
      </w:pPr>
      <w:r>
        <w:rPr>
          <w:color w:val="2A3547"/>
          <w:sz w:val="22"/>
          <w:lang w:val="es-AR"/>
        </w:rPr>
        <w:t>Kirton, M. (1989). Adaptors and innovators: Styles of creativity and problem-solving. Nueva York: Routledge.</w:t>
      </w:r>
    </w:p>
    <w:p>
      <w:pPr>
        <w:pStyle w:val="ListBullet"/>
        <w:numPr>
          <w:ilvl w:val="0"/>
          <w:numId w:val="1"/>
        </w:numPr>
        <w:rPr>
          <w:lang w:val="es-AR"/>
        </w:rPr>
      </w:pPr>
      <w:r>
        <w:rPr>
          <w:color w:val="2A3547"/>
          <w:sz w:val="22"/>
          <w:lang w:val="es-AR"/>
        </w:rPr>
        <w:t>Robinson, K. (2006). Do schools kill creativity? Conferencia TED2006. www.ted.com/talks/sir_ken_robinson_do_schools_kill_creativity</w:t>
      </w:r>
    </w:p>
    <w:p>
      <w:pPr>
        <w:pStyle w:val="ListBullet"/>
        <w:numPr>
          <w:ilvl w:val="0"/>
          <w:numId w:val="1"/>
        </w:numPr>
        <w:spacing w:before="0" w:after="200"/>
        <w:contextualSpacing/>
        <w:rPr>
          <w:lang w:val="es-AR"/>
        </w:rPr>
      </w:pPr>
      <w:r>
        <w:rPr>
          <w:color w:val="2A3547"/>
          <w:sz w:val="22"/>
          <w:lang w:val="es-AR"/>
        </w:rPr>
        <w:t>Torre, S. de la (1999). Creatividad y formación. México: Trillas.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LibreOffice/26.2.2.2$Linux_X86_64 LibreOffice_project/620$Build-2</Application>
  <AppVersion>15.0000</AppVersion>
  <Pages>6</Pages>
  <Words>1163</Words>
  <Characters>6333</Characters>
  <CharactersWithSpaces>7339</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es-AR</dc:language>
  <cp:lastModifiedBy/>
  <dcterms:modified xsi:type="dcterms:W3CDTF">2026-08-22T23:36:50Z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