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</w:pPr>
      <w:r>
        <w:rPr>
          <w:rFonts w:ascii="Calibri" w:cs="Calibri" w:eastAsia="Calibri" w:hAnsi="Calibri"/>
          <w:b/>
          <w:bCs/>
          <w:color w:val="22334D"/>
          <w:sz w:val="30"/>
          <w:szCs w:val="30"/>
        </w:rPr>
        <w:t xml:space="preserve">GUION DE BOLSILLO · CLASE 14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C4633E"/>
          <w:sz w:val="24"/>
          <w:szCs w:val="24"/>
        </w:rPr>
        <w:t xml:space="preserve">Fracaso escolar y educabilidad — Terigi · Baquero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6B7280"/>
          <w:sz w:val="21"/>
          <w:szCs w:val="21"/>
        </w:rPr>
        <w:t xml:space="preserve">Psicología Educacional · Prof. de Educación Inicial 2° A · 80 minutos · 21 estudiantes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22334D"/>
          <w:sz w:val="24"/>
          <w:szCs w:val="24"/>
        </w:rPr>
        <w:t xml:space="preserve">ANTES DE ENTRAR — CHECKLIST</w:t>
      </w:r>
    </w:p>
    <w:p>
      <w:pPr>
        <w:spacing w:after="60"/>
        <w:ind w:left="240"/>
      </w:pPr>
      <w:r>
        <w:rPr>
          <w:rFonts w:ascii="Calibri" w:cs="Calibri" w:eastAsia="Calibri" w:hAnsi="Calibri"/>
          <w:b/>
          <w:bCs/>
          <w:color w:val="C4633E"/>
          <w:sz w:val="22"/>
          <w:szCs w:val="22"/>
        </w:rPr>
        <w:t xml:space="preserve">□  </w:t>
      </w:r>
      <w:r>
        <w:rPr>
          <w:rFonts w:ascii="Calibri" w:cs="Calibri" w:eastAsia="Calibri" w:hAnsi="Calibri"/>
          <w:sz w:val="22"/>
          <w:szCs w:val="22"/>
        </w:rPr>
        <w:t xml:space="preserve">HTML abierto en el navegador: probá Espacio (avanzar), F (pantalla completa), N (notas), G (grilla) y los temporizadores.</w:t>
      </w:r>
    </w:p>
    <w:p>
      <w:pPr>
        <w:spacing w:after="60"/>
        <w:ind w:left="240"/>
      </w:pPr>
      <w:r>
        <w:rPr>
          <w:rFonts w:ascii="Calibri" w:cs="Calibri" w:eastAsia="Calibri" w:hAnsi="Calibri"/>
          <w:b/>
          <w:bCs/>
          <w:color w:val="C4633E"/>
          <w:sz w:val="22"/>
          <w:szCs w:val="22"/>
        </w:rPr>
        <w:t xml:space="preserve">□  </w:t>
      </w:r>
      <w:r>
        <w:rPr>
          <w:rFonts w:ascii="Calibri" w:cs="Calibri" w:eastAsia="Calibri" w:hAnsi="Calibri"/>
          <w:sz w:val="22"/>
          <w:szCs w:val="22"/>
        </w:rPr>
        <w:t xml:space="preserve">Material interactivo online verificado desde tu celular: jjgarcia-cpu.github.io/psico-educ/clase-14/.</w:t>
      </w:r>
    </w:p>
    <w:p>
      <w:pPr>
        <w:spacing w:after="60"/>
        <w:ind w:left="240"/>
      </w:pPr>
      <w:r>
        <w:rPr>
          <w:rFonts w:ascii="Calibri" w:cs="Calibri" w:eastAsia="Calibri" w:hAnsi="Calibri"/>
          <w:b/>
          <w:bCs/>
          <w:color w:val="C4633E"/>
          <w:sz w:val="22"/>
          <w:szCs w:val="22"/>
        </w:rPr>
        <w:t xml:space="preserve">□  </w:t>
      </w:r>
      <w:r>
        <w:rPr>
          <w:rFonts w:ascii="Calibri" w:cs="Calibri" w:eastAsia="Calibri" w:hAnsi="Calibri"/>
          <w:sz w:val="22"/>
          <w:szCs w:val="22"/>
        </w:rPr>
        <w:t xml:space="preserve">Tarjetas de situaciones impresas: 7 tandas (una por mesa) + protocolo de análisis de 3 pasos en el reverso.</w:t>
      </w:r>
    </w:p>
    <w:p>
      <w:pPr>
        <w:spacing w:after="60"/>
        <w:ind w:left="240"/>
      </w:pPr>
      <w:r>
        <w:rPr>
          <w:rFonts w:ascii="Calibri" w:cs="Calibri" w:eastAsia="Calibri" w:hAnsi="Calibri"/>
          <w:b/>
          <w:bCs/>
          <w:color w:val="C4633E"/>
          <w:sz w:val="22"/>
          <w:szCs w:val="22"/>
        </w:rPr>
        <w:t xml:space="preserve">□  </w:t>
      </w:r>
      <w:r>
        <w:rPr>
          <w:rFonts w:ascii="Calibri" w:cs="Calibri" w:eastAsia="Calibri" w:hAnsi="Calibri"/>
          <w:sz w:val="22"/>
          <w:szCs w:val="22"/>
        </w:rPr>
        <w:t xml:space="preserve">Papel afiche o pizarrón dividido para las dos columnas de apertura («rótulos» / «capacidades invisibilizadas»).</w:t>
      </w:r>
    </w:p>
    <w:p>
      <w:pPr>
        <w:spacing w:after="60"/>
        <w:ind w:left="240"/>
      </w:pPr>
      <w:r>
        <w:rPr>
          <w:rFonts w:ascii="Calibri" w:cs="Calibri" w:eastAsia="Calibri" w:hAnsi="Calibri"/>
          <w:b/>
          <w:bCs/>
          <w:color w:val="C4633E"/>
          <w:sz w:val="22"/>
          <w:szCs w:val="22"/>
        </w:rPr>
        <w:t xml:space="preserve">□  </w:t>
      </w:r>
      <w:r>
        <w:rPr>
          <w:rFonts w:ascii="Calibri" w:cs="Calibri" w:eastAsia="Calibri" w:hAnsi="Calibri"/>
          <w:sz w:val="22"/>
          <w:szCs w:val="22"/>
        </w:rPr>
        <w:t xml:space="preserve">Segundo afiche para la matriz final «de rótulos a condiciones».</w:t>
      </w:r>
    </w:p>
    <w:p>
      <w:pPr>
        <w:spacing w:after="60"/>
        <w:ind w:left="240"/>
      </w:pPr>
      <w:r>
        <w:rPr>
          <w:rFonts w:ascii="Calibri" w:cs="Calibri" w:eastAsia="Calibri" w:hAnsi="Calibri"/>
          <w:b/>
          <w:bCs/>
          <w:color w:val="C4633E"/>
          <w:sz w:val="22"/>
          <w:szCs w:val="22"/>
        </w:rPr>
        <w:t xml:space="preserve">□  </w:t>
      </w:r>
      <w:r>
        <w:rPr>
          <w:rFonts w:ascii="Calibri" w:cs="Calibri" w:eastAsia="Calibri" w:hAnsi="Calibri"/>
          <w:sz w:val="22"/>
          <w:szCs w:val="22"/>
        </w:rPr>
        <w:t xml:space="preserve">Escrituras puente de la Clase 13 a mano (las traen ellas; tené lápices extra).</w:t>
      </w:r>
    </w:p>
    <w:p>
      <w:pPr>
        <w:spacing w:after="60"/>
        <w:ind w:left="240"/>
      </w:pPr>
      <w:r>
        <w:rPr>
          <w:rFonts w:ascii="Calibri" w:cs="Calibri" w:eastAsia="Calibri" w:hAnsi="Calibri"/>
          <w:b/>
          <w:bCs/>
          <w:color w:val="C4633E"/>
          <w:sz w:val="22"/>
          <w:szCs w:val="22"/>
        </w:rPr>
        <w:t xml:space="preserve">□  </w:t>
      </w:r>
      <w:r>
        <w:rPr>
          <w:rFonts w:ascii="Calibri" w:cs="Calibri" w:eastAsia="Calibri" w:hAnsi="Calibri"/>
          <w:sz w:val="22"/>
          <w:szCs w:val="22"/>
        </w:rPr>
        <w:t xml:space="preserve">Guion del hinge a mano (claves abajo) · Consigna final integradora lista para proyectar (½ carilla → 1 carilla esta vez).</w:t>
      </w:r>
    </w:p>
    <w:p>
      <w:pPr>
        <w:spacing w:after="90" w:before="240"/>
      </w:pPr>
      <w:r>
        <w:rPr>
          <w:rFonts w:ascii="Calibri" w:cs="Calibri" w:eastAsia="Calibri" w:hAnsi="Calibri"/>
          <w:b/>
          <w:bCs/>
          <w:color w:val="22334D"/>
          <w:sz w:val="24"/>
          <w:szCs w:val="24"/>
        </w:rPr>
        <w:t xml:space="preserve">GUION MINUTO A MINUTO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3050"/>
        <w:gridCol w:w="5540"/>
      </w:tblGrid>
      <w:tr>
        <w:trPr>
          <w:tblHeader/>
        </w:trPr>
        <w:tc>
          <w:tcPr>
            <w:tcW w:type="dxa" w:w="1150"/>
            <w:shd w:fill="22334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MIN</w:t>
            </w:r>
          </w:p>
        </w:tc>
        <w:tc>
          <w:tcPr>
            <w:tcW w:type="dxa" w:w="3050"/>
            <w:shd w:fill="22334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QUÉ HACÉS</w:t>
            </w:r>
          </w:p>
        </w:tc>
        <w:tc>
          <w:tcPr>
            <w:tcW w:type="dxa" w:w="5540"/>
            <w:shd w:fill="22334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PANTALLA / MATERIAL</w:t>
            </w:r>
          </w:p>
        </w:tc>
      </w:tr>
      <w:tr>
        <w:tc>
          <w:tcPr>
            <w:gridSpan w:val="3"/>
            <w:shd w:fill="D9CB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4633E"/>
                <w:sz w:val="20"/>
                <w:szCs w:val="20"/>
              </w:rPr>
              <w:t xml:space="preserve">FASE 1 · APERTURA — LAS ETIQUETAS QUE TRAJIMOS</w:t>
            </w:r>
          </w:p>
        </w:tc>
      </w:tr>
      <w:tr>
        <w:tc>
          <w:tcPr>
            <w:tcW w:type="dxa" w:w="11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0–3</w:t>
            </w:r>
          </w:p>
        </w:tc>
        <w:tc>
          <w:tcPr>
            <w:tcW w:type="dxa" w:w="3050"/>
            <w:shd w:fill="FDFA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Do Now: relectura individual de su escritura puente (mal alumno etiquetado); subrayan el RÓTULO exacto y UNA capacidad no vista</w:t>
            </w:r>
          </w:p>
        </w:tc>
        <w:tc>
          <w:tcPr>
            <w:tcW w:type="dxa" w:w="554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Diap. 3</w:t>
            </w:r>
          </w:p>
        </w:tc>
      </w:tr>
      <w:tr>
        <w:tc>
          <w:tcPr>
            <w:tcW w:type="dxa" w:w="11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3–9</w:t>
            </w:r>
          </w:p>
        </w:tc>
        <w:tc>
          <w:tcPr>
            <w:tcW w:type="dxa" w:w="3050"/>
            <w:shd w:fill="FDFA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Share en parejas con frase común: «el rótulo decía…, pero lo que nadie miró fue…» → puesta en común: llenás DOS COLUMNAS en pizarrón/afiche</w:t>
            </w:r>
          </w:p>
        </w:tc>
        <w:tc>
          <w:tcPr>
            <w:tcW w:type="dxa" w:w="554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Diap. 4 · afiche 1</w:t>
            </w:r>
          </w:p>
        </w:tc>
      </w:tr>
      <w:tr>
        <w:tc>
          <w:tcPr>
            <w:tcW w:type="dxa" w:w="11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9–12</w:t>
            </w:r>
          </w:p>
        </w:tc>
        <w:tc>
          <w:tcPr>
            <w:tcW w:type="dxa" w:w="3050"/>
            <w:shd w:fill="FDFA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Intención: «hoy entendemos cómo se fabrica una etiqueta escolar — y cómo dejar de fabricarla». Al cierre van a rediseñar una situación real</w:t>
            </w:r>
          </w:p>
        </w:tc>
        <w:tc>
          <w:tcPr>
            <w:tcW w:type="dxa" w:w="554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Diap. 5</w:t>
            </w:r>
          </w:p>
        </w:tc>
      </w:tr>
      <w:tr>
        <w:tc>
          <w:tcPr>
            <w:gridSpan w:val="3"/>
            <w:shd w:fill="D9CB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4633E"/>
                <w:sz w:val="20"/>
                <w:szCs w:val="20"/>
              </w:rPr>
              <w:t xml:space="preserve">FASE 2 · MARCO CONCEPTUAL — DOS MANERAS DE EXPLICAR EL FRACASO</w:t>
            </w:r>
          </w:p>
        </w:tc>
      </w:tr>
      <w:tr>
        <w:tc>
          <w:tcPr>
            <w:tcW w:type="dxa" w:w="11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12–16</w:t>
            </w:r>
          </w:p>
        </w:tc>
        <w:tc>
          <w:tcPr>
            <w:tcW w:type="dxa" w:w="3050"/>
            <w:shd w:fill="FDFA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El invento del «alumno que no aprende»: masificación → rendimiento obligatorio → primera respuesta: buscar la causa EN el niño (medir, clasificar, tratar)</w:t>
            </w:r>
          </w:p>
        </w:tc>
        <w:tc>
          <w:tcPr>
            <w:tcW w:type="dxa" w:w="554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Diap. 6 · Lectura §1</w:t>
            </w:r>
          </w:p>
        </w:tc>
      </w:tr>
      <w:tr>
        <w:tc>
          <w:tcPr>
            <w:tcW w:type="dxa" w:w="11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16–22</w:t>
            </w:r>
          </w:p>
        </w:tc>
        <w:tc>
          <w:tcPr>
            <w:tcW w:type="dxa" w:w="3050"/>
            <w:shd w:fill="FDFA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Terigi: fracaso MASIVO ≠ suma de individuos. Trayectorias teóricas vs. reales; repetencia/sobreedad/abandono como vías de expulsión silenciosa</w:t>
            </w:r>
          </w:p>
        </w:tc>
        <w:tc>
          <w:tcPr>
            <w:tcW w:type="dxa" w:w="554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Diap. 7–8 · Lectura §2</w:t>
            </w:r>
          </w:p>
        </w:tc>
      </w:tr>
      <w:tr>
        <w:tc>
          <w:tcPr>
            <w:tcW w:type="dxa" w:w="11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22–27</w:t>
            </w:r>
          </w:p>
        </w:tc>
        <w:tc>
          <w:tcPr>
            <w:tcW w:type="dxa" w:w="3050"/>
            <w:shd w:fill="FDFA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Discurso del déficit + CÍRCULO DE LA SOSPECHA (sospecha → expectativa baja → menos oportunidades → resultado pobre → confirmación). Conexión explícita con Pygmalión (C11)</w:t>
            </w:r>
          </w:p>
        </w:tc>
        <w:tc>
          <w:tcPr>
            <w:tcW w:type="dxa" w:w="554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Diap. 9</w:t>
            </w:r>
          </w:p>
        </w:tc>
      </w:tr>
      <w:tr>
        <w:tc>
          <w:tcPr>
            <w:tcW w:type="dxa" w:w="11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27–30</w:t>
            </w:r>
          </w:p>
        </w:tc>
        <w:tc>
          <w:tcPr>
            <w:tcW w:type="dxa" w:w="3050"/>
            <w:shd w:fill="FDFA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Distinción innegociable: educabilidad NO es atributo fijo del sujeto; es relación sujeto-oferta de enseñanza</w:t>
            </w:r>
          </w:p>
        </w:tc>
        <w:tc>
          <w:tcPr>
            <w:tcW w:type="dxa" w:w="554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Diap. 10</w:t>
            </w:r>
          </w:p>
        </w:tc>
      </w:tr>
      <w:tr>
        <w:tc>
          <w:tcPr>
            <w:gridSpan w:val="3"/>
            <w:shd w:fill="D9CB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4633E"/>
                <w:sz w:val="20"/>
                <w:szCs w:val="20"/>
              </w:rPr>
              <w:t xml:space="preserve">CHECKPOINT FORMATIVO · HINGE QUESTION</w:t>
            </w:r>
          </w:p>
        </w:tc>
      </w:tr>
      <w:tr>
        <w:tc>
          <w:tcPr>
            <w:tcW w:type="dxa" w:w="11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30–35</w:t>
            </w:r>
          </w:p>
        </w:tc>
        <w:tc>
          <w:tcPr>
            <w:tcW w:type="dxa" w:w="3050"/>
            <w:shd w:fill="FDFA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Leés el caso Micaela despacio → 3 seg de silencio → voto con dedos (A–D). Contás votos SIN revelar: devolución completa en min 63–68</w:t>
            </w:r>
          </w:p>
        </w:tc>
        <w:tc>
          <w:tcPr>
            <w:tcW w:type="dxa" w:w="554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Diap. 11</w:t>
            </w:r>
          </w:p>
        </w:tc>
      </w:tr>
      <w:tr>
        <w:tc>
          <w:tcPr>
            <w:gridSpan w:val="3"/>
            <w:shd w:fill="D9CB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4633E"/>
                <w:sz w:val="20"/>
                <w:szCs w:val="20"/>
              </w:rPr>
              <w:t xml:space="preserve">FASE 3 · PROFUNDIZACIÓN — DE EVALUAR CAPACIDAD A CONSTRUIR POSIBILIDAD</w:t>
            </w:r>
          </w:p>
        </w:tc>
      </w:tr>
      <w:tr>
        <w:tc>
          <w:tcPr>
            <w:tcW w:type="dxa" w:w="11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35–41</w:t>
            </w:r>
          </w:p>
        </w:tc>
        <w:tc>
          <w:tcPr>
            <w:tcW w:type="dxa" w:w="3050"/>
            <w:shd w:fill="FDFA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La reformulación de Baquero: de «¿este niño puede?» a «¿bajo qué condiciones aprende?». Anclaje: ¿qué instalaba la huerta que la ficha no instalaba?</w:t>
            </w:r>
          </w:p>
        </w:tc>
        <w:tc>
          <w:tcPr>
            <w:tcW w:type="dxa" w:w="554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Diap. 12 · Lectura §4</w:t>
            </w:r>
          </w:p>
        </w:tc>
      </w:tr>
      <w:tr>
        <w:tc>
          <w:tcPr>
            <w:tcW w:type="dxa" w:w="11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41–45</w:t>
            </w:r>
          </w:p>
        </w:tc>
        <w:tc>
          <w:tcPr>
            <w:tcW w:type="dxa" w:w="3050"/>
            <w:shd w:fill="FDFA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Presentás las 3 situaciones y el protocolo: (a) nombrar la atribución, (b) identificar condiciones productoras, (c) rediseñar UNA condición concreta</w:t>
            </w:r>
          </w:p>
        </w:tc>
        <w:tc>
          <w:tcPr>
            <w:tcW w:type="dxa" w:w="554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Diap. 13 · tarjetas</w:t>
            </w:r>
          </w:p>
        </w:tc>
      </w:tr>
      <w:tr>
        <w:tc>
          <w:tcPr>
            <w:tcW w:type="dxa" w:w="11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45–58</w:t>
            </w:r>
          </w:p>
        </w:tc>
        <w:tc>
          <w:tcPr>
            <w:tcW w:type="dxa" w:w="3050"/>
            <w:shd w:fill="FDFA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MESAS: análisis y rediseño (temporizador visible 13 min). Circulás con la pregunta: ¿qué parte está en el chico y qué parte en la oferta?</w:t>
            </w:r>
          </w:p>
        </w:tc>
        <w:tc>
          <w:tcPr>
            <w:tcW w:type="dxa" w:w="554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Diap. 13–14</w:t>
            </w:r>
          </w:p>
        </w:tc>
      </w:tr>
      <w:tr>
        <w:tc>
          <w:tcPr>
            <w:tcW w:type="dxa" w:w="11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58–63</w:t>
            </w:r>
          </w:p>
        </w:tc>
        <w:tc>
          <w:tcPr>
            <w:tcW w:type="dxa" w:w="3050"/>
            <w:shd w:fill="FDFA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Puesta en común relámpago: 1 voz por mesa presenta SOLO el rediseño (1 min c/u). Vos registrás la MATRIZ colectiva rótulo → condición → rediseño</w:t>
            </w:r>
          </w:p>
        </w:tc>
        <w:tc>
          <w:tcPr>
            <w:tcW w:type="dxa" w:w="554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Afiche 2</w:t>
            </w:r>
          </w:p>
        </w:tc>
      </w:tr>
      <w:tr>
        <w:tc>
          <w:tcPr>
            <w:gridSpan w:val="3"/>
            <w:shd w:fill="D9CB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4633E"/>
                <w:sz w:val="20"/>
                <w:szCs w:val="20"/>
              </w:rPr>
              <w:t xml:space="preserve">FASE 4 · CIERRE — VERIFICAR, SINTETIZAR, PROYECTAR</w:t>
            </w:r>
          </w:p>
        </w:tc>
      </w:tr>
      <w:tr>
        <w:tc>
          <w:tcPr>
            <w:tcW w:type="dxa" w:w="11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63–68</w:t>
            </w:r>
          </w:p>
        </w:tc>
        <w:tc>
          <w:tcPr>
            <w:tcW w:type="dxa" w:w="3050"/>
            <w:shd w:fill="FDFA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Devolución del hinge: correcta B (la concentración es propiedad de la situación: huerta vs. ficha). Reconstruís el círculo de la sospecha y su reverso</w:t>
            </w:r>
          </w:p>
        </w:tc>
        <w:tc>
          <w:tcPr>
            <w:tcW w:type="dxa" w:w="554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Diap. 15</w:t>
            </w:r>
          </w:p>
        </w:tc>
      </w:tr>
      <w:tr>
        <w:tc>
          <w:tcPr>
            <w:tcW w:type="dxa" w:w="11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68–75</w:t>
            </w:r>
          </w:p>
        </w:tc>
        <w:tc>
          <w:tcPr>
            <w:tcW w:type="dxa" w:w="3050"/>
            <w:shd w:fill="FDFA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Síntesis co-construida: 5 ideas fuerza (guía abajo, NO leer textual)</w:t>
            </w:r>
          </w:p>
        </w:tc>
        <w:tc>
          <w:tcPr>
            <w:tcW w:type="dxa" w:w="554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Diap. 16</w:t>
            </w:r>
          </w:p>
        </w:tc>
      </w:tr>
      <w:tr>
        <w:tc>
          <w:tcPr>
            <w:tcW w:type="dxa" w:w="11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75–80</w:t>
            </w:r>
          </w:p>
        </w:tc>
        <w:tc>
          <w:tcPr>
            <w:tcW w:type="dxa" w:w="3050"/>
            <w:shd w:fill="FDFA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Consigna final integradora: reescribir una situación real en dos versiones (problema-en-el-chico / problema-en-las-condiciones), 1 carilla. Es insumo del examen final. Gancho: «la escuela heredada no se elige; la que vas a tener a cargo, la diseñás vos»</w:t>
            </w:r>
          </w:p>
        </w:tc>
        <w:tc>
          <w:tcPr>
            <w:tcW w:type="dxa" w:w="554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Diap. 17–18</w:t>
            </w:r>
          </w:p>
        </w:tc>
      </w:tr>
    </w:tbl>
    <w:p>
      <w:pPr>
        <w:spacing w:after="90" w:before="280"/>
      </w:pPr>
      <w:r>
        <w:rPr>
          <w:rFonts w:ascii="Calibri" w:cs="Calibri" w:eastAsia="Calibri" w:hAnsi="Calibri"/>
          <w:b/>
          <w:bCs/>
          <w:color w:val="22334D"/>
          <w:sz w:val="24"/>
          <w:szCs w:val="24"/>
        </w:rPr>
        <w:t xml:space="preserve">CLAVES RÁPIDAS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40"/>
      </w:tblGrid>
      <w:tr>
        <w:tc>
          <w:tcPr>
            <w:tcW w:type="dxa" w:w="2600"/>
            <w:shd w:fill="E3E6C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Hinge (min 30–35)</w:t>
            </w:r>
          </w:p>
        </w:tc>
        <w:tc>
          <w:tcPr>
            <w:tcW w:type="dxa" w:w="714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Correcta: opción B. ≥80% eligió B → avanzar directo a Fase 3 · 50–79% → re-teach 2 min con el contraste ficha/huerta: «¿dónde estaba la capacidad de concentrar?» · &lt;50% → volvé a Diap. 9 (círculo de la sospecha) y reconstruilo con un caso de la apertura.</w:t>
            </w:r>
          </w:p>
        </w:tc>
      </w:tr>
      <w:tr>
        <w:tc>
          <w:tcPr>
            <w:tcW w:type="dxa" w:w="2600"/>
            <w:shd w:fill="E3E6C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Tarjetas — orientación</w:t>
            </w:r>
          </w:p>
        </w:tc>
        <w:tc>
          <w:tcPr>
            <w:tcW w:type="dxa" w:w="714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S1 Mateo: la asamblea no es el único formato válido de atención; usar su interés (mecánica) como entrada didáctica. S2 Valentina: no simplificar el contenido — sostener el desafío con tiempo real, pasos escalonados y andamiaje; registrar logros. S3 Tomás: preparación previa + rol protagónico en el juego dramático; auditar el registro «desinterés familiar». Todas admiten múltiples rediseños válidos: lo evaluable es que cambien CONDICIONES, no cualidades del niño.</w:t>
            </w:r>
          </w:p>
        </w:tc>
      </w:tr>
      <w:tr>
        <w:tc>
          <w:tcPr>
            <w:tcW w:type="dxa" w:w="2600"/>
            <w:shd w:fill="E3E6C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Matriz final (afiche 2)</w:t>
            </w:r>
          </w:p>
        </w:tc>
        <w:tc>
          <w:tcPr>
            <w:tcW w:type="dxa" w:w="714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Tres columnas fijas: RÓTULO ORIGINAL → CONDICIÓN IDENTIFICADA → REDISEÑO PROPUESTO. Fotografiala al cierre y subila al tema de la Clase 14 en Classroom junto al post-clase.</w:t>
            </w:r>
          </w:p>
        </w:tc>
      </w:tr>
      <w:tr>
        <w:tc>
          <w:tcPr>
            <w:tcW w:type="dxa" w:w="2600"/>
            <w:shd w:fill="E3E6C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Ideas fuerza (min 68–75)</w:t>
            </w:r>
          </w:p>
        </w:tc>
        <w:tc>
          <w:tcPr>
            <w:tcW w:type="dxa" w:w="714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1) El fracaso es un concepto histórico. 2) Masivo, ya no se explica por déficits individuales. 3) La sospecha se autocumple. 4) Educabilidad = propiedad de la situación. 5) De evaluar capacidades a construir posibilidades.</w:t>
            </w:r>
          </w:p>
        </w:tc>
      </w:tr>
    </w:tbl>
    <w:p>
      <w:pPr>
        <w:spacing w:after="60" w:before="24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ATAJOS DEL PROYECTOR: Espacio/→ avanzan · ← retrocede · F pantalla completa · N notas · G grilla · B pantalla negra · Esc cierra</w:t>
      </w:r>
    </w:p>
    <w:p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Tiempos orientativos: si la puesta en común engancha, recortala a 4 min. Basada en: Plan_Clase14_Rediseñado.docx · Clase14_Presentacion_Proyector.html · Material_Lectura_Clase14.pdf</w:t>
      </w:r>
    </w:p>
    <w:sectPr>
      <w:pgSz w:w="11906" w:h="16838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A354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2026-08-24T18:06:00.484Z</dcterms:created>
  <dcterms:modified xsi:type="dcterms:W3CDTF">2026-08-24T18:06:00.485Z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