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i w:val="0"/>
          <w:color w:val="1A3C6E"/>
          <w:sz w:val="21"/>
        </w:rPr>
        <w:t>INSTITUTO SUPERIOR NUESTRA SEÑORA DE FÁTIMA (A-1486)</w:t>
      </w:r>
    </w:p>
    <w:p>
      <w:pPr>
        <w:spacing w:after="80"/>
        <w:jc w:val="center"/>
      </w:pPr>
      <w:r>
        <w:rPr>
          <w:b w:val="0"/>
          <w:i w:val="0"/>
          <w:color w:val="4A5563"/>
          <w:sz w:val="18"/>
        </w:rPr>
        <w:t>Profesorado de Educación Inicial · 2° año · Turno Noche · Ciclo lectivo 2026</w:t>
      </w:r>
    </w:p>
    <w:p>
      <w:pPr>
        <w:spacing w:after="20"/>
        <w:jc w:val="center"/>
      </w:pPr>
      <w:r>
        <w:rPr>
          <w:b/>
          <w:i w:val="0"/>
          <w:color w:val="1A3C6E"/>
          <w:sz w:val="32"/>
        </w:rPr>
        <w:t>Psicología Educacional</w:t>
      </w:r>
    </w:p>
    <w:p>
      <w:pPr>
        <w:spacing w:after="120"/>
        <w:jc w:val="center"/>
      </w:pPr>
      <w:r>
        <w:rPr>
          <w:b w:val="0"/>
          <w:i/>
          <w:color w:val="4A5563"/>
          <w:sz w:val="20"/>
        </w:rPr>
        <w:t>Evaluación formativa — «El motor de aprender» · Unidad III + apertura de Unidad IV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4DDE8"/>
          <w:left w:val="single" w:sz="4" w:color="D4DDE8"/>
          <w:bottom w:val="single" w:sz="4" w:color="D4DDE8"/>
          <w:right w:val="single" w:sz="4" w:color="D4DDE8"/>
          <w:insideH w:val="single" w:sz="4" w:color="D4DDE8"/>
          <w:insideV w:val="single" w:sz="4" w:color="D4DDE8"/>
        </w:tblBorders>
      </w:tblPr>
      <w:tblGrid>
        <w:gridCol w:w="5213"/>
        <w:gridCol w:w="5213"/>
      </w:tblGrid>
      <w:tr>
        <w:tc>
          <w:tcPr>
            <w:tcW w:type="dxa" w:w="5213"/>
            <w:shd w:val="clear" w:color="auto" w:fill="F4F7FB"/>
          </w:tcPr>
          <w:p>
            <w:pPr>
              <w:spacing w:after="20"/>
            </w:pPr>
            <w:r>
              <w:rPr>
                <w:b/>
                <w:color w:val="1A3C6E"/>
                <w:sz w:val="18"/>
              </w:rPr>
              <w:t>Fecha</w:t>
            </w:r>
          </w:p>
        </w:tc>
        <w:tc>
          <w:tcPr>
            <w:tcW w:type="dxa" w:w="7654"/>
            <w:shd w:val="clear" w:color="auto" w:fill="F4F7FB"/>
          </w:tcPr>
          <w:p>
            <w:pPr>
              <w:spacing w:after="20"/>
            </w:pPr>
            <w:r>
              <w:rPr>
                <w:sz w:val="18"/>
              </w:rPr>
              <w:t>Viernes 09/10/2026 · presencial, en el horario de clase</w:t>
            </w:r>
          </w:p>
        </w:tc>
      </w:tr>
      <w:tr>
        <w:tc>
          <w:tcPr>
            <w:tcW w:type="dxa" w:w="5213"/>
            <w:shd w:val="clear" w:color="auto" w:fill="F4F7FB"/>
          </w:tcPr>
          <w:p>
            <w:pPr>
              <w:spacing w:after="20"/>
            </w:pPr>
            <w:r>
              <w:rPr>
                <w:b/>
                <w:color w:val="1A3C6E"/>
                <w:sz w:val="18"/>
              </w:rPr>
              <w:t>Duración</w:t>
            </w:r>
          </w:p>
        </w:tc>
        <w:tc>
          <w:tcPr>
            <w:tcW w:type="dxa" w:w="7654"/>
            <w:shd w:val="clear" w:color="auto" w:fill="F4F7FB"/>
          </w:tcPr>
          <w:p>
            <w:pPr>
              <w:spacing w:after="20"/>
            </w:pPr>
            <w:r>
              <w:rPr>
                <w:sz w:val="18"/>
              </w:rPr>
              <w:t>90 minutos</w:t>
            </w:r>
          </w:p>
        </w:tc>
      </w:tr>
      <w:tr>
        <w:tc>
          <w:tcPr>
            <w:tcW w:type="dxa" w:w="5213"/>
            <w:shd w:val="clear" w:color="auto" w:fill="F4F7FB"/>
          </w:tcPr>
          <w:p>
            <w:pPr>
              <w:spacing w:after="20"/>
            </w:pPr>
            <w:r>
              <w:rPr>
                <w:b/>
                <w:color w:val="1A3C6E"/>
                <w:sz w:val="18"/>
              </w:rPr>
              <w:t>Modalidad</w:t>
            </w:r>
          </w:p>
        </w:tc>
        <w:tc>
          <w:tcPr>
            <w:tcW w:type="dxa" w:w="7654"/>
            <w:shd w:val="clear" w:color="auto" w:fill="F4F7FB"/>
          </w:tcPr>
          <w:p>
            <w:pPr>
              <w:spacing w:after="20"/>
            </w:pPr>
            <w:r>
              <w:rPr>
                <w:sz w:val="18"/>
              </w:rPr>
              <w:t>En parejas (con opción individual) · con consulta de carpeta y materiales</w:t>
            </w:r>
          </w:p>
        </w:tc>
      </w:tr>
      <w:tr>
        <w:tc>
          <w:tcPr>
            <w:tcW w:type="dxa" w:w="5213"/>
            <w:shd w:val="clear" w:color="auto" w:fill="F4F7FB"/>
          </w:tcPr>
          <w:p>
            <w:pPr>
              <w:spacing w:after="20"/>
            </w:pPr>
            <w:r>
              <w:rPr>
                <w:b/>
                <w:color w:val="1A3C6E"/>
                <w:sz w:val="18"/>
              </w:rPr>
              <w:t>Calificación</w:t>
            </w:r>
          </w:p>
        </w:tc>
        <w:tc>
          <w:tcPr>
            <w:tcW w:type="dxa" w:w="7654"/>
            <w:shd w:val="clear" w:color="auto" w:fill="F4F7FB"/>
          </w:tcPr>
          <w:p>
            <w:pPr>
              <w:spacing w:after="20"/>
            </w:pPr>
            <w:r>
              <w:rPr>
                <w:sz w:val="18"/>
              </w:rPr>
              <w:t>Instancia sin nota — se devuelve con rúbrica y comentario formativo</w:t>
            </w:r>
          </w:p>
        </w:tc>
      </w:tr>
    </w:tbl>
    <w:p>
      <w:pPr>
        <w:spacing w:after="40"/>
      </w:pPr>
    </w:p>
    <w:p>
      <w:pPr>
        <w:spacing w:after="40"/>
        <w:shd w:val="clear" w:color="auto" w:fill="FFF8E6"/>
      </w:pPr>
      <w:r>
        <w:rPr>
          <w:b/>
          <w:color w:val="8A6D0B"/>
          <w:sz w:val="20"/>
        </w:rPr>
        <w:t>Instrucciones</w:t>
      </w:r>
    </w:p>
    <w:p>
      <w:pPr>
        <w:spacing w:after="20"/>
        <w:ind w:left="227"/>
        <w:shd w:val="clear" w:color="auto" w:fill="FFF8E6"/>
      </w:pPr>
      <w:r>
        <w:rPr>
          <w:sz w:val="19"/>
        </w:rPr>
        <w:t>•  Esta instancia no tiene nota: se devuelve con rúbrica y comentario para que sepas qué estás logrando y qué ajustar de cara al integrador de cierre.</w:t>
      </w:r>
    </w:p>
    <w:p>
      <w:pPr>
        <w:spacing w:after="20"/>
        <w:ind w:left="227"/>
        <w:shd w:val="clear" w:color="auto" w:fill="FFF8E6"/>
      </w:pPr>
      <w:r>
        <w:rPr>
          <w:sz w:val="19"/>
        </w:rPr>
        <w:t>•  Pueden consultar carpeta y materiales. No se comparten materiales entre parejas.</w:t>
      </w:r>
    </w:p>
    <w:p>
      <w:pPr>
        <w:spacing w:after="20"/>
        <w:ind w:left="227"/>
        <w:shd w:val="clear" w:color="auto" w:fill="FFF8E6"/>
      </w:pPr>
      <w:r>
        <w:rPr>
          <w:sz w:val="19"/>
        </w:rPr>
        <w:t>•  Se evalúa comprensión, articulación y reflexión — no reproducción de definiciones de memoria.</w:t>
      </w:r>
    </w:p>
    <w:p>
      <w:pPr>
        <w:spacing w:after="20"/>
        <w:ind w:left="227"/>
        <w:shd w:val="clear" w:color="auto" w:fill="FFF8E6"/>
      </w:pPr>
      <w:r>
        <w:rPr>
          <w:sz w:val="19"/>
        </w:rPr>
        <w:t>•  Lean toda la consigna antes de empezar. Administren los 90 minutos según el tiempo sugerido de cada sección.</w:t>
      </w:r>
    </w:p>
    <w:p>
      <w:pPr>
        <w:spacing w:after="20"/>
        <w:ind w:left="227"/>
        <w:shd w:val="clear" w:color="auto" w:fill="FFF8E6"/>
      </w:pPr>
      <w:r>
        <w:rPr>
          <w:sz w:val="19"/>
        </w:rPr>
        <w:t>•  Tengan en cuenta los criterios de la rúbrica: aparecen al final del documento.</w:t>
      </w:r>
    </w:p>
    <w:p>
      <w:pPr>
        <w:spacing w:before="160" w:after="80"/>
        <w:shd w:val="clear" w:color="auto" w:fill="1A3C6E"/>
      </w:pPr>
      <w:r>
        <w:rPr>
          <w:b/>
          <w:color w:val="FFFFFF"/>
          <w:sz w:val="22"/>
        </w:rPr>
        <w:t>Sección 1 · Preguntas cortas</w:t>
      </w:r>
      <w:r>
        <w:rPr>
          <w:color w:val="CFE0F5"/>
          <w:sz w:val="18"/>
        </w:rPr>
        <w:t xml:space="preserve">   20 minutos · responden 3 de las 4</w:t>
      </w:r>
    </w:p>
    <w:p>
      <w:pPr>
        <w:spacing w:after="40"/>
        <w:ind w:left="340"/>
      </w:pPr>
      <w:r>
        <w:rPr>
          <w:sz w:val="20"/>
        </w:rPr>
        <w:t>1.  Explicá la diferencia entre motivación intrínseca y extrínseca con un ejemplo de sala de nivel inicial.</w:t>
      </w:r>
    </w:p>
    <w:p>
      <w:pPr>
        <w:spacing w:after="40"/>
        <w:ind w:left="340"/>
      </w:pPr>
      <w:r>
        <w:rPr>
          <w:sz w:val="20"/>
        </w:rPr>
        <w:t>2.  ¿Por qué el elogio al esfuerzo sostiene la motivación y la etiqueta sobre la capacidad («sos genial», «no sirve para esto») la apaga?</w:t>
      </w:r>
    </w:p>
    <w:p>
      <w:pPr>
        <w:spacing w:after="40"/>
        <w:ind w:left="340"/>
      </w:pPr>
      <w:r>
        <w:rPr>
          <w:sz w:val="20"/>
        </w:rPr>
        <w:t>3.  ¿Qué crítica se le hace a la clasificación rígida de «estilos de aprendizaje» (VAK) y qué propone el enfoque DUA como alternativa?</w:t>
      </w:r>
    </w:p>
    <w:p>
      <w:pPr>
        <w:spacing w:after="40"/>
        <w:ind w:left="340"/>
      </w:pPr>
      <w:r>
        <w:rPr>
          <w:sz w:val="20"/>
        </w:rPr>
        <w:t>4.  Elegí una de estas dos y desarrollala: (a) ¿qué distingue a un factor protector en la resiliencia (Higgins) y cómo se conecta con los seis pasos de Henderson y Milstein? (b) ¿qué rol juega el clima en el aprendizaje creativo (las cuatro pes)?</w:t>
      </w:r>
    </w:p>
    <w:p>
      <w:pPr>
        <w:spacing w:before="160" w:after="80"/>
        <w:shd w:val="clear" w:color="auto" w:fill="1A3C6E"/>
      </w:pPr>
      <w:r>
        <w:rPr>
          <w:b/>
          <w:color w:val="FFFFFF"/>
          <w:sz w:val="22"/>
        </w:rPr>
        <w:t>Sección 2 · Desarrollo conceptual</w:t>
      </w:r>
      <w:r>
        <w:rPr>
          <w:color w:val="CFE0F5"/>
          <w:sz w:val="18"/>
        </w:rPr>
        <w:t xml:space="preserve">   20 minutos</w:t>
      </w:r>
    </w:p>
    <w:p>
      <w:pPr>
        <w:spacing w:after="80"/>
      </w:pPr>
      <w:r>
        <w:rPr>
          <w:b w:val="0"/>
          <w:i w:val="0"/>
        </w:rPr>
        <w:t>Cuando un niño «fracasa» en la escuela, hay dos maneras de explicarlo: como déficit del alumno, o como producción de la propia situación escolar. Contrastá ambas explicaciones y explicá por qué Baquero propone dejar de preguntarnos «¿este niño puede?» para preguntarnos «¿qué condiciones hacen posible que aprenda?». Usá vocabulario específico de la disciplina.</w:t>
      </w:r>
    </w:p>
    <w:p>
      <w:pPr>
        <w:spacing w:before="160" w:after="80"/>
        <w:shd w:val="clear" w:color="auto" w:fill="1A3C6E"/>
      </w:pPr>
      <w:r>
        <w:rPr>
          <w:b/>
          <w:color w:val="FFFFFF"/>
          <w:sz w:val="22"/>
        </w:rPr>
        <w:t>Sección 3 · Análisis de caso</w:t>
      </w:r>
      <w:r>
        <w:rPr>
          <w:color w:val="CFE0F5"/>
          <w:sz w:val="18"/>
        </w:rPr>
        <w:t xml:space="preserve">   35 minutos</w:t>
      </w:r>
    </w:p>
    <w:p>
      <w:pPr>
        <w:spacing w:after="80"/>
        <w:ind w:left="170" w:right="170"/>
        <w:shd w:val="clear" w:color="auto" w:fill="F4F7FB"/>
      </w:pPr>
      <w:r>
        <w:rPr>
          <w:i/>
          <w:sz w:val="20"/>
        </w:rPr>
        <w:t>Maia llegó hace dos meses a la sala de 5 del turno tarde. En las propuestas de mesa —dibujo, letras, números— casi no participa: se queda mirando, contesta con monosílabos o dice «no sé». Marta, su docente, la describe como «tímida y sin interés». En los recreos, en cambio, Maia juega largo rato, arma escenarios con los bloques y les cuenta historias a dos compañeras. Hace dos semanas, en la sala de docentes, Marta dijo: «Esta nena no le gusta aprender», y desde entonces le pide menos actividades «para no frustrarla».</w:t>
      </w:r>
    </w:p>
    <w:p>
      <w:pPr>
        <w:spacing w:after="40"/>
      </w:pPr>
      <w:r>
        <w:rPr>
          <w:b w:val="0"/>
          <w:i w:val="0"/>
        </w:rPr>
        <w:t>Respondan:</w:t>
      </w:r>
    </w:p>
    <w:p>
      <w:pPr>
        <w:spacing w:after="40"/>
        <w:ind w:left="340"/>
      </w:pPr>
      <w:r>
        <w:rPr>
          <w:sz w:val="20"/>
        </w:rPr>
        <w:t>a)  Analicen la situación de Maia desde la motivación: ¿qué lectura hace Marta de su conducta? ¿qué papel juegan sus expectativas y sus etiquetas en lo que está pasando?</w:t>
      </w:r>
    </w:p>
    <w:p>
      <w:pPr>
        <w:spacing w:after="40"/>
        <w:ind w:left="340"/>
      </w:pPr>
      <w:r>
        <w:rPr>
          <w:sz w:val="20"/>
        </w:rPr>
        <w:t>b)  ¿Qué lecturas alternativas habilita la mirada de la educabilidad (Baquero)? ¿Dónde está el problema: en Maia o en las condiciones de la situación?</w:t>
      </w:r>
    </w:p>
    <w:p>
      <w:pPr>
        <w:spacing w:after="40"/>
        <w:ind w:left="340"/>
      </w:pPr>
      <w:r>
        <w:rPr>
          <w:sz w:val="20"/>
        </w:rPr>
        <w:t>c)  Propongan tres intervenciones concretas de sala que Marta podría implementar, fundamentando cada una con al menos un concepto de la Unidad III (motivación, estilos/DUA, resiliencia o creatividad).</w:t>
      </w:r>
    </w:p>
    <w:p>
      <w:pPr>
        <w:spacing w:before="160" w:after="80"/>
        <w:shd w:val="clear" w:color="auto" w:fill="1A3C6E"/>
      </w:pPr>
      <w:r>
        <w:rPr>
          <w:b/>
          <w:color w:val="FFFFFF"/>
          <w:sz w:val="22"/>
        </w:rPr>
        <w:t>Sección 4 · Reflexión docente</w:t>
      </w:r>
      <w:r>
        <w:rPr>
          <w:color w:val="CFE0F5"/>
          <w:sz w:val="18"/>
        </w:rPr>
        <w:t xml:space="preserve">   10 minutos</w:t>
      </w:r>
    </w:p>
    <w:p>
      <w:pPr>
        <w:spacing w:after="80"/>
      </w:pPr>
      <w:r>
        <w:rPr>
          <w:b w:val="0"/>
          <w:i w:val="0"/>
        </w:rPr>
        <w:t>¿Qué cambió —o se afirmó— en su manera de pensar el «motor de aprender» a partir de esta Unidad? Formulen una idea conjunta y, si hay diferencia de miradas entre las dos, anótenla como tensión.</w:t>
      </w:r>
    </w:p>
    <w:p>
      <w:pPr>
        <w:spacing w:before="160" w:after="80"/>
        <w:shd w:val="clear" w:color="auto" w:fill="1A3C6E"/>
      </w:pPr>
      <w:r>
        <w:rPr>
          <w:b/>
          <w:color w:val="FFFFFF"/>
          <w:sz w:val="22"/>
        </w:rPr>
        <w:t>Rúbrica formativa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9C4D4"/>
          <w:left w:val="single" w:sz="4" w:color="B9C4D4"/>
          <w:bottom w:val="single" w:sz="4" w:color="B9C4D4"/>
          <w:right w:val="single" w:sz="4" w:color="B9C4D4"/>
          <w:insideH w:val="single" w:sz="4" w:color="B9C4D4"/>
          <w:insideV w:val="single" w:sz="4" w:color="B9C4D4"/>
        </w:tblBorders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  <w:shd w:val="clear" w:color="auto" w:fill="1A3C6E"/>
          </w:tcPr>
          <w:p>
            <w:r>
              <w:rPr>
                <w:b/>
                <w:color w:val="FFFFFF"/>
                <w:sz w:val="17"/>
              </w:rPr>
              <w:t>Criterio</w:t>
            </w:r>
          </w:p>
        </w:tc>
        <w:tc>
          <w:tcPr>
            <w:tcW w:type="dxa" w:w="2085"/>
            <w:shd w:val="clear" w:color="auto" w:fill="1A3C6E"/>
          </w:tcPr>
          <w:p>
            <w:r>
              <w:rPr>
                <w:b/>
                <w:color w:val="FFFFFF"/>
                <w:sz w:val="17"/>
              </w:rPr>
              <w:t>En desarrollo</w:t>
            </w:r>
          </w:p>
        </w:tc>
        <w:tc>
          <w:tcPr>
            <w:tcW w:type="dxa" w:w="2085"/>
            <w:shd w:val="clear" w:color="auto" w:fill="1A3C6E"/>
          </w:tcPr>
          <w:p>
            <w:r>
              <w:rPr>
                <w:b/>
                <w:color w:val="FFFFFF"/>
                <w:sz w:val="17"/>
              </w:rPr>
              <w:t>En proceso</w:t>
            </w:r>
          </w:p>
        </w:tc>
        <w:tc>
          <w:tcPr>
            <w:tcW w:type="dxa" w:w="2085"/>
            <w:shd w:val="clear" w:color="auto" w:fill="1A3C6E"/>
          </w:tcPr>
          <w:p>
            <w:r>
              <w:rPr>
                <w:b/>
                <w:color w:val="FFFFFF"/>
                <w:sz w:val="17"/>
              </w:rPr>
              <w:t>Logrado</w:t>
            </w:r>
          </w:p>
        </w:tc>
        <w:tc>
          <w:tcPr>
            <w:tcW w:type="dxa" w:w="2085"/>
            <w:shd w:val="clear" w:color="auto" w:fill="1A3C6E"/>
          </w:tcPr>
          <w:p>
            <w:r>
              <w:rPr>
                <w:b/>
                <w:color w:val="FFFFFF"/>
                <w:sz w:val="17"/>
              </w:rPr>
              <w:t>Destacado</w:t>
            </w:r>
          </w:p>
        </w:tc>
      </w:tr>
      <w:tr>
        <w:tc>
          <w:tcPr>
            <w:tcW w:type="dxa" w:w="2085"/>
            <w:shd w:val="clear" w:color="auto" w:fill="EEF3F9"/>
          </w:tcPr>
          <w:p>
            <w:pPr>
              <w:spacing w:after="20"/>
            </w:pPr>
            <w:r>
              <w:rPr>
                <w:b/>
                <w:color w:val="1A3C6E"/>
                <w:sz w:val="16"/>
              </w:rPr>
              <w:t>Conceptos</w:t>
              <w:br/>
              <w:t>vocabulario específico de la Unidad III/IV</w:t>
            </w:r>
          </w:p>
        </w:tc>
        <w:tc>
          <w:tcPr>
            <w:tcW w:type="dxa" w:w="2085"/>
          </w:tcPr>
          <w:p>
            <w:pPr>
              <w:spacing w:after="20"/>
            </w:pPr>
            <w:r>
              <w:rPr>
                <w:b/>
                <w:color w:val="1A3C6E"/>
                <w:sz w:val="16"/>
              </w:rPr>
              <w:t>Menciona conceptos sin definirlos o con imprecisiones</w:t>
            </w:r>
          </w:p>
        </w:tc>
        <w:tc>
          <w:tcPr>
            <w:tcW w:type="dxa" w:w="2085"/>
          </w:tcPr>
          <w:p>
            <w:pPr>
              <w:spacing w:after="20"/>
            </w:pPr>
            <w:r>
              <w:rPr>
                <w:b/>
                <w:color w:val="1A3C6E"/>
                <w:sz w:val="16"/>
              </w:rPr>
              <w:t>Usa conceptos correctamente en casos simples</w:t>
            </w:r>
          </w:p>
        </w:tc>
        <w:tc>
          <w:tcPr>
            <w:tcW w:type="dxa" w:w="2085"/>
          </w:tcPr>
          <w:p>
            <w:pPr>
              <w:spacing w:after="20"/>
            </w:pPr>
            <w:r>
              <w:rPr>
                <w:b/>
                <w:color w:val="1A3C6E"/>
                <w:sz w:val="16"/>
              </w:rPr>
              <w:t>Selecciona conceptos pertinentes y los define con precisión</w:t>
            </w:r>
          </w:p>
        </w:tc>
        <w:tc>
          <w:tcPr>
            <w:tcW w:type="dxa" w:w="2085"/>
          </w:tcPr>
          <w:p>
            <w:pPr>
              <w:spacing w:after="20"/>
            </w:pPr>
            <w:r>
              <w:rPr>
                <w:b/>
                <w:color w:val="1A3C6E"/>
                <w:sz w:val="16"/>
              </w:rPr>
              <w:t>Articula conceptos entre sí con precisión y autonomía</w:t>
            </w:r>
          </w:p>
        </w:tc>
      </w:tr>
      <w:tr>
        <w:tc>
          <w:tcPr>
            <w:tcW w:type="dxa" w:w="2085"/>
            <w:shd w:val="clear" w:color="auto" w:fill="EEF3F9"/>
          </w:tcPr>
          <w:p>
            <w:pPr>
              <w:spacing w:after="20"/>
            </w:pPr>
            <w:r>
              <w:rPr>
                <w:b/>
                <w:color w:val="1A3C6E"/>
                <w:sz w:val="16"/>
              </w:rPr>
              <w:t>Análisis del caso</w:t>
              <w:br/>
              <w:t>integración teoría–realidad escolar</w:t>
            </w:r>
          </w:p>
        </w:tc>
        <w:tc>
          <w:tcPr>
            <w:tcW w:type="dxa" w:w="2085"/>
          </w:tcPr>
          <w:p>
            <w:pPr>
              <w:spacing w:after="20"/>
            </w:pPr>
            <w:r>
              <w:rPr>
                <w:b/>
                <w:color w:val="1A3C6E"/>
                <w:sz w:val="16"/>
              </w:rPr>
              <w:t>Describe la situación sin marco teórico</w:t>
            </w:r>
          </w:p>
        </w:tc>
        <w:tc>
          <w:tcPr>
            <w:tcW w:type="dxa" w:w="2085"/>
          </w:tcPr>
          <w:p>
            <w:pPr>
              <w:spacing w:after="20"/>
            </w:pPr>
            <w:r>
              <w:rPr>
                <w:b/>
                <w:color w:val="1A3C6E"/>
                <w:sz w:val="16"/>
              </w:rPr>
              <w:t>Aplica un marco, sin llegar a explicar la situación</w:t>
            </w:r>
          </w:p>
        </w:tc>
        <w:tc>
          <w:tcPr>
            <w:tcW w:type="dxa" w:w="2085"/>
          </w:tcPr>
          <w:p>
            <w:pPr>
              <w:spacing w:after="20"/>
            </w:pPr>
            <w:r>
              <w:rPr>
                <w:b/>
                <w:color w:val="1A3C6E"/>
                <w:sz w:val="16"/>
              </w:rPr>
              <w:t>Explica la situación integrando varios marcos</w:t>
            </w:r>
          </w:p>
        </w:tc>
        <w:tc>
          <w:tcPr>
            <w:tcW w:type="dxa" w:w="2085"/>
          </w:tcPr>
          <w:p>
            <w:pPr>
              <w:spacing w:after="20"/>
            </w:pPr>
            <w:r>
              <w:rPr>
                <w:b/>
                <w:color w:val="1A3C6E"/>
                <w:sz w:val="16"/>
              </w:rPr>
              <w:t>Lee la situación con mirada crítica y fundamentada</w:t>
            </w:r>
          </w:p>
        </w:tc>
      </w:tr>
      <w:tr>
        <w:tc>
          <w:tcPr>
            <w:tcW w:type="dxa" w:w="2085"/>
            <w:shd w:val="clear" w:color="auto" w:fill="EEF3F9"/>
          </w:tcPr>
          <w:p>
            <w:pPr>
              <w:spacing w:after="20"/>
            </w:pPr>
            <w:r>
              <w:rPr>
                <w:b/>
                <w:color w:val="1A3C6E"/>
                <w:sz w:val="16"/>
              </w:rPr>
              <w:t>Intervenciones</w:t>
              <w:br/>
              <w:t>fundamentación y viabilidad</w:t>
            </w:r>
          </w:p>
        </w:tc>
        <w:tc>
          <w:tcPr>
            <w:tcW w:type="dxa" w:w="2085"/>
          </w:tcPr>
          <w:p>
            <w:pPr>
              <w:spacing w:after="20"/>
            </w:pPr>
            <w:r>
              <w:rPr>
                <w:b/>
                <w:color w:val="1A3C6E"/>
                <w:sz w:val="16"/>
              </w:rPr>
              <w:t>Propone acciones de sentido común</w:t>
            </w:r>
          </w:p>
        </w:tc>
        <w:tc>
          <w:tcPr>
            <w:tcW w:type="dxa" w:w="2085"/>
          </w:tcPr>
          <w:p>
            <w:pPr>
              <w:spacing w:after="20"/>
            </w:pPr>
            <w:r>
              <w:rPr>
                <w:b/>
                <w:color w:val="1A3C6E"/>
                <w:sz w:val="16"/>
              </w:rPr>
              <w:t>Fundamenta con un concepto, intervención genérica</w:t>
            </w:r>
          </w:p>
        </w:tc>
        <w:tc>
          <w:tcPr>
            <w:tcW w:type="dxa" w:w="2085"/>
          </w:tcPr>
          <w:p>
            <w:pPr>
              <w:spacing w:after="20"/>
            </w:pPr>
            <w:r>
              <w:rPr>
                <w:b/>
                <w:color w:val="1A3C6E"/>
                <w:sz w:val="16"/>
              </w:rPr>
              <w:t>Intervenciones concretas y fundamentadas</w:t>
            </w:r>
          </w:p>
        </w:tc>
        <w:tc>
          <w:tcPr>
            <w:tcW w:type="dxa" w:w="2085"/>
          </w:tcPr>
          <w:p>
            <w:pPr>
              <w:spacing w:after="20"/>
            </w:pPr>
            <w:r>
              <w:rPr>
                <w:b/>
                <w:color w:val="1A3C6E"/>
                <w:sz w:val="16"/>
              </w:rPr>
              <w:t>Intervenciones creativas, contextualizadas y articuladas</w:t>
            </w:r>
          </w:p>
        </w:tc>
      </w:tr>
      <w:tr>
        <w:tc>
          <w:tcPr>
            <w:tcW w:type="dxa" w:w="2085"/>
            <w:shd w:val="clear" w:color="auto" w:fill="EEF3F9"/>
          </w:tcPr>
          <w:p>
            <w:pPr>
              <w:spacing w:after="20"/>
            </w:pPr>
            <w:r>
              <w:rPr>
                <w:b/>
                <w:color w:val="1A3C6E"/>
                <w:sz w:val="16"/>
              </w:rPr>
              <w:t>Reflexión y escritura</w:t>
              <w:br/>
              <w:t>ideas propias, coherencia</w:t>
            </w:r>
          </w:p>
        </w:tc>
        <w:tc>
          <w:tcPr>
            <w:tcW w:type="dxa" w:w="2085"/>
          </w:tcPr>
          <w:p>
            <w:pPr>
              <w:spacing w:after="20"/>
            </w:pPr>
            <w:r>
              <w:rPr>
                <w:b/>
                <w:color w:val="1A3C6E"/>
                <w:sz w:val="16"/>
              </w:rPr>
              <w:t>Respuestas breves, ideas sueltas</w:t>
            </w:r>
          </w:p>
        </w:tc>
        <w:tc>
          <w:tcPr>
            <w:tcW w:type="dxa" w:w="2085"/>
          </w:tcPr>
          <w:p>
            <w:pPr>
              <w:spacing w:after="20"/>
            </w:pPr>
            <w:r>
              <w:rPr>
                <w:b/>
                <w:color w:val="1A3C6E"/>
                <w:sz w:val="16"/>
              </w:rPr>
              <w:t>Coherente, pero descriptiva</w:t>
            </w:r>
          </w:p>
        </w:tc>
        <w:tc>
          <w:tcPr>
            <w:tcW w:type="dxa" w:w="2085"/>
          </w:tcPr>
          <w:p>
            <w:pPr>
              <w:spacing w:after="20"/>
            </w:pPr>
            <w:r>
              <w:rPr>
                <w:b/>
                <w:color w:val="1A3C6E"/>
                <w:sz w:val="16"/>
              </w:rPr>
              <w:t>Ideas propias con coherencia y vocabulario disciplinar</w:t>
            </w:r>
          </w:p>
        </w:tc>
        <w:tc>
          <w:tcPr>
            <w:tcW w:type="dxa" w:w="2085"/>
          </w:tcPr>
          <w:p>
            <w:pPr>
              <w:spacing w:after="20"/>
            </w:pPr>
            <w:r>
              <w:rPr>
                <w:b/>
                <w:color w:val="1A3C6E"/>
                <w:sz w:val="16"/>
              </w:rPr>
              <w:t>Reflexión con posición personal y preguntas abiertas</w:t>
            </w:r>
          </w:p>
        </w:tc>
      </w:tr>
    </w:tbl>
    <w:p>
      <w:pPr>
        <w:spacing w:before="200"/>
        <w:jc w:val="center"/>
      </w:pPr>
      <w:r>
        <w:rPr>
          <w:color w:val="4A5563"/>
          <w:sz w:val="18"/>
        </w:rPr>
        <w:t>Prof. Juan José García · Psicología Educacional · Profesorado de Educación Inicial 2° A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