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Bootstrap. (n.d.). Forms. https://getbootstrap.com/docs/5.3/forms/overview/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Elmasri, R., &amp; Navathe, S. B. (2016). Fundamentals of database systems (7th ed.). Pearson.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ISO/IEC/IEEE. (2018). ISO/IEC/IEEE 29148:2018 systems and software engineering—Life cycle processes—Requirements engineering. IEEE. https://doi.org/10.1109/IEEESTD.2018.8559686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Object Management Group. (2017). OMG Unified Modeling Language (OMG UML), version 2.5.1. https://www.omg.org/spec/UML/2.5.1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Oracle. (2026). CREATE TABLE statement. In MySQL 8.4 reference manual. https://dev.mysql.com/doc/refman/8.4/en/create-table.html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PHP Documentation Group. (n.d.). mysqli::prepare. PHP manual. https://www.php.net/manual/en/mysqli.prepare.php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Pressman, R. S., &amp; Maxim, B. R. (2020). Software engineering: A practitioner’s approach (9th ed.). McGraw-Hill Education.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Sommerville, I. (2016). Software engineering (10th ed.). Pearson.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Temoshok, D., Choong, Y.-Y., Regenscheid, A., Galluzzo, R., Fenton, J. L., Richer, J., &amp; Lefkovitz, N. (2025). Digital identity guidelines: Authentication and authenticator management (NIST Special Publication 800-63B-4). National Institute of Standards and Technology. https://doi.org/10.6028/NIST.SP.800-63B-4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sz w:val="24"/>
        </w:rPr>
        <w:t>Tsui, F., Karam, O., &amp; Bernal, B. (2018). Essentials of software engineering (4th ed.). Jones &amp; Bartlett Learning.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