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8F62F" w14:textId="52511979" w:rsidR="00C931E3" w:rsidRDefault="00C252DA" w:rsidP="00902105">
      <w:pPr>
        <w:keepNext/>
        <w:jc w:val="both"/>
      </w:pPr>
      <w:r>
        <w:fldChar w:fldCharType="begin"/>
      </w:r>
      <w:r>
        <w:instrText xml:space="preserve"> MACROBUTTON MTEditEquationSection2 </w:instrText>
      </w:r>
      <w:r w:rsidRPr="00C252D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C931E3">
        <w:t xml:space="preserve">To understand the shift in the reduction potential as the number of benzimidazole units is increased, we can decompose the process into elementary steps of the thermodynamic cycle. A schematic of the different steps is given in </w:t>
      </w:r>
      <w:r w:rsidR="00C931E3" w:rsidRPr="00C931E3">
        <w:fldChar w:fldCharType="begin"/>
      </w:r>
      <w:r w:rsidR="00C931E3" w:rsidRPr="00C931E3">
        <w:instrText xml:space="preserve"> REF _Ref536612711 \h  \* MERGEFORMAT </w:instrText>
      </w:r>
      <w:r w:rsidR="00C931E3" w:rsidRPr="00C931E3">
        <w:fldChar w:fldCharType="separate"/>
      </w:r>
      <w:r w:rsidR="00C931E3" w:rsidRPr="00C931E3">
        <w:rPr>
          <w:color w:val="000000" w:themeColor="text1"/>
        </w:rPr>
        <w:t xml:space="preserve">Figure </w:t>
      </w:r>
      <w:r w:rsidR="00C931E3" w:rsidRPr="00C931E3">
        <w:rPr>
          <w:noProof/>
          <w:color w:val="000000" w:themeColor="text1"/>
        </w:rPr>
        <w:t>1</w:t>
      </w:r>
      <w:r w:rsidR="00C931E3" w:rsidRPr="00C931E3">
        <w:fldChar w:fldCharType="end"/>
      </w:r>
      <w:r w:rsidR="00C931E3" w:rsidRPr="00C931E3">
        <w:t>.</w:t>
      </w:r>
    </w:p>
    <w:p w14:paraId="76447D07" w14:textId="77777777" w:rsidR="009E6B62" w:rsidRDefault="009E6B62" w:rsidP="00902105">
      <w:pPr>
        <w:keepNext/>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E6B62" w14:paraId="178A3736" w14:textId="77777777" w:rsidTr="009E6B62">
        <w:trPr>
          <w:trHeight w:val="2614"/>
          <w:jc w:val="center"/>
        </w:trPr>
        <w:tc>
          <w:tcPr>
            <w:tcW w:w="4680" w:type="dxa"/>
          </w:tcPr>
          <w:p w14:paraId="0FDFCB62" w14:textId="23A7A471" w:rsidR="009E6B62" w:rsidRDefault="009E6B62" w:rsidP="009E6B62">
            <w:pPr>
              <w:keepNext/>
              <w:jc w:val="center"/>
            </w:pPr>
            <w:r w:rsidRPr="00230E15">
              <w:rPr>
                <w:noProof/>
              </w:rPr>
              <w:drawing>
                <wp:inline distT="0" distB="0" distL="0" distR="0" wp14:anchorId="715C5864" wp14:editId="03B5ACF2">
                  <wp:extent cx="2451034" cy="23875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4932" cy="2410823"/>
                          </a:xfrm>
                          <a:prstGeom prst="rect">
                            <a:avLst/>
                          </a:prstGeom>
                        </pic:spPr>
                      </pic:pic>
                    </a:graphicData>
                  </a:graphic>
                </wp:inline>
              </w:drawing>
            </w:r>
          </w:p>
        </w:tc>
      </w:tr>
      <w:tr w:rsidR="009E6B62" w14:paraId="02BB84A6" w14:textId="77777777" w:rsidTr="009E6B62">
        <w:trPr>
          <w:trHeight w:val="289"/>
          <w:jc w:val="center"/>
        </w:trPr>
        <w:tc>
          <w:tcPr>
            <w:tcW w:w="4680" w:type="dxa"/>
          </w:tcPr>
          <w:p w14:paraId="3CAAE261" w14:textId="57F70C5E" w:rsidR="009E6B62" w:rsidRPr="009E6B62" w:rsidRDefault="009E6B62" w:rsidP="009E6B62">
            <w:pPr>
              <w:pStyle w:val="Caption"/>
              <w:jc w:val="both"/>
              <w:rPr>
                <w:i w:val="0"/>
                <w:color w:val="000000" w:themeColor="text1"/>
                <w:sz w:val="28"/>
              </w:rPr>
            </w:pPr>
            <w:bookmarkStart w:id="0" w:name="_Ref536612711"/>
            <w:bookmarkStart w:id="1" w:name="_Ref536612706"/>
            <w:r w:rsidRPr="009E6B62">
              <w:rPr>
                <w:b/>
                <w:i w:val="0"/>
                <w:color w:val="000000" w:themeColor="text1"/>
                <w:sz w:val="20"/>
              </w:rPr>
              <w:t xml:space="preserve">Figure </w:t>
            </w:r>
            <w:r w:rsidRPr="009E6B62">
              <w:rPr>
                <w:b/>
                <w:i w:val="0"/>
                <w:color w:val="000000" w:themeColor="text1"/>
                <w:sz w:val="20"/>
              </w:rPr>
              <w:fldChar w:fldCharType="begin"/>
            </w:r>
            <w:r w:rsidRPr="009E6B62">
              <w:rPr>
                <w:b/>
                <w:i w:val="0"/>
                <w:color w:val="000000" w:themeColor="text1"/>
                <w:sz w:val="20"/>
              </w:rPr>
              <w:instrText xml:space="preserve"> SEQ Figure \* ARABIC </w:instrText>
            </w:r>
            <w:r w:rsidRPr="009E6B62">
              <w:rPr>
                <w:b/>
                <w:i w:val="0"/>
                <w:color w:val="000000" w:themeColor="text1"/>
                <w:sz w:val="20"/>
              </w:rPr>
              <w:fldChar w:fldCharType="separate"/>
            </w:r>
            <w:r>
              <w:rPr>
                <w:b/>
                <w:i w:val="0"/>
                <w:noProof/>
                <w:color w:val="000000" w:themeColor="text1"/>
                <w:sz w:val="20"/>
              </w:rPr>
              <w:t>1</w:t>
            </w:r>
            <w:r w:rsidRPr="009E6B62">
              <w:rPr>
                <w:b/>
                <w:i w:val="0"/>
                <w:color w:val="000000" w:themeColor="text1"/>
                <w:sz w:val="20"/>
              </w:rPr>
              <w:fldChar w:fldCharType="end"/>
            </w:r>
            <w:bookmarkEnd w:id="0"/>
            <w:r w:rsidRPr="009E6B62">
              <w:rPr>
                <w:b/>
                <w:i w:val="0"/>
                <w:color w:val="000000" w:themeColor="text1"/>
                <w:sz w:val="20"/>
              </w:rPr>
              <w:t>.</w:t>
            </w:r>
            <w:r w:rsidRPr="009E6B62">
              <w:rPr>
                <w:i w:val="0"/>
                <w:color w:val="000000" w:themeColor="text1"/>
                <w:sz w:val="20"/>
              </w:rPr>
              <w:t xml:space="preserve"> Stepwise decomposition of the different energetic components involved in the E4PT process for tri-BIP-cyclohexylimine</w:t>
            </w:r>
            <w:bookmarkEnd w:id="1"/>
            <w:r>
              <w:rPr>
                <w:i w:val="0"/>
                <w:color w:val="000000" w:themeColor="text1"/>
                <w:sz w:val="20"/>
              </w:rPr>
              <w:t>.</w:t>
            </w:r>
          </w:p>
        </w:tc>
      </w:tr>
    </w:tbl>
    <w:p w14:paraId="735A3B71" w14:textId="77777777" w:rsidR="00C9296C" w:rsidRDefault="00C931E3" w:rsidP="00902105">
      <w:pPr>
        <w:pStyle w:val="MTDisplayEquation"/>
        <w:jc w:val="both"/>
      </w:pPr>
      <w:r>
        <w:t xml:space="preserve">Mathematically, </w:t>
      </w:r>
      <w:r w:rsidR="008C3509">
        <w:t xml:space="preserve">we can represent the change in </w:t>
      </w:r>
      <w:commentRangeStart w:id="2"/>
      <w:r w:rsidR="008C3509">
        <w:t xml:space="preserve">reduction potential </w:t>
      </w:r>
      <w:commentRangeEnd w:id="2"/>
      <w:r w:rsidR="00746168">
        <w:rPr>
          <w:rStyle w:val="CommentReference"/>
        </w:rPr>
        <w:commentReference w:id="2"/>
      </w:r>
      <w:r w:rsidR="008C3509">
        <w:t xml:space="preserve">for each intermediate step in the </w:t>
      </w:r>
      <w:proofErr w:type="spellStart"/>
      <w:r w:rsidR="008C3509">
        <w:t>EnPT</w:t>
      </w:r>
      <w:proofErr w:type="spellEnd"/>
      <w:r w:rsidR="008C3509">
        <w:t xml:space="preserve"> process as</w:t>
      </w:r>
    </w:p>
    <w:p w14:paraId="67A745F9" w14:textId="77777777" w:rsidR="00C9296C" w:rsidRPr="00C9296C" w:rsidRDefault="00C9296C" w:rsidP="00902105">
      <w:pPr>
        <w:jc w:val="both"/>
      </w:pPr>
    </w:p>
    <w:p w14:paraId="17345F44" w14:textId="77777777" w:rsidR="00230E15" w:rsidRDefault="00230E15" w:rsidP="00230E15">
      <w:pPr>
        <w:pStyle w:val="MTDisplayEquation"/>
      </w:pPr>
      <w:r>
        <w:tab/>
      </w:r>
      <w:r w:rsidR="001F2D81" w:rsidRPr="008C3509">
        <w:rPr>
          <w:noProof/>
          <w:position w:val="-94"/>
        </w:rPr>
        <w:object w:dxaOrig="5860" w:dyaOrig="2020" w14:anchorId="6665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292.95pt;height:100.55pt;mso-width-percent:0;mso-height-percent:0;mso-width-percent:0;mso-height-percent:0" o:ole="">
            <v:imagedata r:id="rId12" o:title=""/>
          </v:shape>
          <o:OLEObject Type="Embed" ProgID="Equation.DSMT4" ShapeID="_x0000_i1040" DrawAspect="Content" ObjectID="_1610443073"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6991">
        <w:rPr>
          <w:noProof/>
        </w:rPr>
        <w:fldChar w:fldCharType="begin"/>
      </w:r>
      <w:r w:rsidR="00DC6991">
        <w:rPr>
          <w:noProof/>
        </w:rPr>
        <w:instrText xml:space="preserve"> SEQ MTEqn \c \* Arabic \* MERGEFORMAT </w:instrText>
      </w:r>
      <w:r w:rsidR="00DC6991">
        <w:rPr>
          <w:noProof/>
        </w:rPr>
        <w:fldChar w:fldCharType="separate"/>
      </w:r>
      <w:r>
        <w:rPr>
          <w:noProof/>
        </w:rPr>
        <w:instrText>1</w:instrText>
      </w:r>
      <w:r w:rsidR="00DC6991">
        <w:rPr>
          <w:noProof/>
        </w:rPr>
        <w:fldChar w:fldCharType="end"/>
      </w:r>
      <w:r>
        <w:instrText>)</w:instrText>
      </w:r>
      <w:r>
        <w:fldChar w:fldCharType="end"/>
      </w:r>
    </w:p>
    <w:p w14:paraId="4F376634" w14:textId="77777777" w:rsidR="00902105" w:rsidRDefault="00902105" w:rsidP="00902105">
      <w:pPr>
        <w:jc w:val="both"/>
      </w:pPr>
    </w:p>
    <w:p w14:paraId="137716D3" w14:textId="1FDA426A" w:rsidR="007542D5" w:rsidRDefault="008C3509" w:rsidP="006F63BB">
      <w:pPr>
        <w:jc w:val="both"/>
      </w:pPr>
      <w:r>
        <w:t>Here</w:t>
      </w:r>
      <w:r w:rsidR="001F2D81" w:rsidRPr="008C3509">
        <w:rPr>
          <w:noProof/>
          <w:position w:val="-4"/>
        </w:rPr>
        <w:object w:dxaOrig="320" w:dyaOrig="320" w14:anchorId="4CD730C1">
          <v:shape id="_x0000_i1039" type="#_x0000_t75" alt="" style="width:16.15pt;height:16.15pt;mso-width-percent:0;mso-height-percent:0;mso-width-percent:0;mso-height-percent:0" o:ole="">
            <v:imagedata r:id="rId14" o:title=""/>
          </v:shape>
          <o:OLEObject Type="Embed" ProgID="Equation.DSMT4" ShapeID="_x0000_i1039" DrawAspect="Content" ObjectID="_1610443074" r:id="rId15"/>
        </w:object>
      </w:r>
      <w:r>
        <w:t xml:space="preserve"> is the </w:t>
      </w:r>
      <w:r w:rsidR="006F63BB">
        <w:t>redox</w:t>
      </w:r>
      <w:r>
        <w:t xml:space="preserve"> potential for the reaction </w:t>
      </w:r>
      <w:r w:rsidR="001F2D81" w:rsidRPr="008C3509">
        <w:rPr>
          <w:noProof/>
          <w:position w:val="-4"/>
        </w:rPr>
        <w:object w:dxaOrig="1700" w:dyaOrig="320" w14:anchorId="2F0C4E4E">
          <v:shape id="_x0000_i1038" type="#_x0000_t75" alt="" style="width:84.4pt;height:16.15pt;mso-width-percent:0;mso-height-percent:0;mso-width-percent:0;mso-height-percent:0" o:ole="">
            <v:imagedata r:id="rId16" o:title=""/>
          </v:shape>
          <o:OLEObject Type="Embed" ProgID="Equation.DSMT4" ShapeID="_x0000_i1038" DrawAspect="Content" ObjectID="_1610443075" r:id="rId17"/>
        </w:object>
      </w:r>
      <w:r w:rsidR="00B86BE2">
        <w:rPr>
          <w:noProof/>
        </w:rPr>
        <w:t>, with no transfer of protons</w:t>
      </w:r>
      <w:r>
        <w:t xml:space="preserve">. Each </w:t>
      </w:r>
      <w:r w:rsidR="001F2D81" w:rsidRPr="00487CF0">
        <w:rPr>
          <w:noProof/>
          <w:position w:val="-12"/>
        </w:rPr>
        <w:object w:dxaOrig="620" w:dyaOrig="380" w14:anchorId="506B2800">
          <v:shape id="_x0000_i1037" type="#_x0000_t75" alt="" style="width:31.05pt;height:18.6pt;mso-width-percent:0;mso-height-percent:0;mso-width-percent:0;mso-height-percent:0" o:ole="">
            <v:imagedata r:id="rId18" o:title=""/>
          </v:shape>
          <o:OLEObject Type="Embed" ProgID="Equation.DSMT4" ShapeID="_x0000_i1037" DrawAspect="Content" ObjectID="_1610443076" r:id="rId19"/>
        </w:object>
      </w:r>
      <w:r>
        <w:t xml:space="preserve"> </w:t>
      </w:r>
      <w:r w:rsidR="00487CF0">
        <w:t>describes how the reduction potential shifts as each intermediate proton is transferred.</w:t>
      </w:r>
      <w:r w:rsidR="006F63BB">
        <w:rPr>
          <w:rStyle w:val="FootnoteReference"/>
        </w:rPr>
        <w:footnoteReference w:id="1"/>
      </w:r>
      <w:r w:rsidR="00487CF0">
        <w:t xml:space="preserve"> A summary of the computed results for the members of the BIP-cyclohexylimine series is given</w:t>
      </w:r>
      <w:r w:rsidR="009E6B62">
        <w:t xml:space="preserve"> below</w:t>
      </w:r>
      <w:r w:rsidR="00487CF0">
        <w:t xml:space="preserve"> in </w:t>
      </w:r>
      <w:r w:rsidR="000C06CB">
        <w:t>Table 1.</w:t>
      </w:r>
    </w:p>
    <w:tbl>
      <w:tblPr>
        <w:tblStyle w:val="PlainTable3"/>
        <w:tblpPr w:leftFromText="180" w:rightFromText="180" w:vertAnchor="text" w:horzAnchor="margin" w:tblpY="-71"/>
        <w:tblW w:w="0" w:type="auto"/>
        <w:tblLook w:val="04A0" w:firstRow="1" w:lastRow="0" w:firstColumn="1" w:lastColumn="0" w:noHBand="0" w:noVBand="1"/>
      </w:tblPr>
      <w:tblGrid>
        <w:gridCol w:w="2337"/>
        <w:gridCol w:w="2337"/>
        <w:gridCol w:w="2338"/>
        <w:gridCol w:w="2338"/>
      </w:tblGrid>
      <w:tr w:rsidR="00902105" w:rsidRPr="006C5DC5" w14:paraId="0DA81D75" w14:textId="77777777" w:rsidTr="00902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Borders>
              <w:bottom w:val="single" w:sz="4" w:space="0" w:color="auto"/>
            </w:tcBorders>
          </w:tcPr>
          <w:p w14:paraId="32E81CDD" w14:textId="5CD3BD7B" w:rsidR="00902105" w:rsidRDefault="00902105" w:rsidP="00902105">
            <w:pPr>
              <w:rPr>
                <w:b w:val="0"/>
                <w:caps w:val="0"/>
              </w:rPr>
            </w:pPr>
            <w:r w:rsidRPr="009E6B62">
              <w:rPr>
                <w:caps w:val="0"/>
              </w:rPr>
              <w:lastRenderedPageBreak/>
              <w:t xml:space="preserve">Table 1. </w:t>
            </w:r>
            <w:r>
              <w:rPr>
                <w:b w:val="0"/>
                <w:caps w:val="0"/>
              </w:rPr>
              <w:t>Shifts to reduction potential (V</w:t>
            </w:r>
            <w:r w:rsidR="006F63BB">
              <w:rPr>
                <w:b w:val="0"/>
                <w:caps w:val="0"/>
              </w:rPr>
              <w:t xml:space="preserve"> vs Fc</w:t>
            </w:r>
            <w:r w:rsidR="006F63BB">
              <w:rPr>
                <w:b w:val="0"/>
                <w:caps w:val="0"/>
                <w:vertAlign w:val="superscript"/>
              </w:rPr>
              <w:t>+</w:t>
            </w:r>
            <w:r w:rsidR="006F63BB">
              <w:rPr>
                <w:b w:val="0"/>
                <w:caps w:val="0"/>
              </w:rPr>
              <w:t>/Fc</w:t>
            </w:r>
            <w:r>
              <w:rPr>
                <w:b w:val="0"/>
                <w:caps w:val="0"/>
              </w:rPr>
              <w:t>) as a function of proton transfer for BIP-</w:t>
            </w:r>
            <w:proofErr w:type="spellStart"/>
            <w:r>
              <w:rPr>
                <w:b w:val="0"/>
                <w:caps w:val="0"/>
              </w:rPr>
              <w:t>cyclohexylimines</w:t>
            </w:r>
            <w:proofErr w:type="spellEnd"/>
            <w:r>
              <w:rPr>
                <w:b w:val="0"/>
                <w:caps w:val="0"/>
              </w:rPr>
              <w:t xml:space="preserve"> with different numbers of benzimidazole moieties.</w:t>
            </w:r>
          </w:p>
        </w:tc>
      </w:tr>
      <w:tr w:rsidR="00902105" w:rsidRPr="006C5DC5" w14:paraId="7EC283D3" w14:textId="77777777" w:rsidTr="00902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tcPr>
          <w:p w14:paraId="057EDCD0" w14:textId="77777777" w:rsidR="00902105" w:rsidRPr="006C5DC5" w:rsidRDefault="00902105" w:rsidP="00902105">
            <w:pPr>
              <w:rPr>
                <w:b w:val="0"/>
                <w:caps w:val="0"/>
              </w:rPr>
            </w:pPr>
            <w:r>
              <w:rPr>
                <w:b w:val="0"/>
                <w:caps w:val="0"/>
              </w:rPr>
              <w:t xml:space="preserve"> All units in Volts</w:t>
            </w:r>
          </w:p>
        </w:tc>
        <w:tc>
          <w:tcPr>
            <w:tcW w:w="2337" w:type="dxa"/>
            <w:tcBorders>
              <w:top w:val="single" w:sz="4" w:space="0" w:color="auto"/>
            </w:tcBorders>
          </w:tcPr>
          <w:p w14:paraId="6EE9B9BA" w14:textId="77777777" w:rsidR="00902105" w:rsidRPr="000C06CB" w:rsidRDefault="00902105" w:rsidP="00902105">
            <w:pPr>
              <w:jc w:val="right"/>
              <w:cnfStyle w:val="000000100000" w:firstRow="0" w:lastRow="0" w:firstColumn="0" w:lastColumn="0" w:oddVBand="0" w:evenVBand="0" w:oddHBand="1" w:evenHBand="0" w:firstRowFirstColumn="0" w:firstRowLastColumn="0" w:lastRowFirstColumn="0" w:lastRowLastColumn="0"/>
            </w:pPr>
            <w:r w:rsidRPr="000C06CB">
              <w:t>mono-BIP-cyclohexylimine</w:t>
            </w:r>
          </w:p>
        </w:tc>
        <w:tc>
          <w:tcPr>
            <w:tcW w:w="2338" w:type="dxa"/>
            <w:tcBorders>
              <w:top w:val="single" w:sz="4" w:space="0" w:color="auto"/>
            </w:tcBorders>
          </w:tcPr>
          <w:p w14:paraId="17870E2F" w14:textId="77777777" w:rsidR="00902105" w:rsidRPr="000C06CB" w:rsidRDefault="00902105" w:rsidP="00902105">
            <w:pPr>
              <w:jc w:val="right"/>
              <w:cnfStyle w:val="000000100000" w:firstRow="0" w:lastRow="0" w:firstColumn="0" w:lastColumn="0" w:oddVBand="0" w:evenVBand="0" w:oddHBand="1" w:evenHBand="0" w:firstRowFirstColumn="0" w:firstRowLastColumn="0" w:lastRowFirstColumn="0" w:lastRowLastColumn="0"/>
            </w:pPr>
            <w:r w:rsidRPr="000C06CB">
              <w:t>di-BIP-cyclohexylimine</w:t>
            </w:r>
          </w:p>
        </w:tc>
        <w:tc>
          <w:tcPr>
            <w:tcW w:w="2338" w:type="dxa"/>
            <w:tcBorders>
              <w:top w:val="single" w:sz="4" w:space="0" w:color="auto"/>
            </w:tcBorders>
          </w:tcPr>
          <w:p w14:paraId="3337CD0F" w14:textId="77777777" w:rsidR="00902105" w:rsidRPr="000C06CB" w:rsidRDefault="00902105" w:rsidP="00902105">
            <w:pPr>
              <w:jc w:val="right"/>
              <w:cnfStyle w:val="000000100000" w:firstRow="0" w:lastRow="0" w:firstColumn="0" w:lastColumn="0" w:oddVBand="0" w:evenVBand="0" w:oddHBand="1" w:evenHBand="0" w:firstRowFirstColumn="0" w:firstRowLastColumn="0" w:lastRowFirstColumn="0" w:lastRowLastColumn="0"/>
            </w:pPr>
            <w:r w:rsidRPr="000C06CB">
              <w:t>tri-BIP-cyclohexylimine</w:t>
            </w:r>
          </w:p>
        </w:tc>
      </w:tr>
      <w:tr w:rsidR="00902105" w14:paraId="581D6B08" w14:textId="77777777" w:rsidTr="00902105">
        <w:tc>
          <w:tcPr>
            <w:cnfStyle w:val="001000000000" w:firstRow="0" w:lastRow="0" w:firstColumn="1" w:lastColumn="0" w:oddVBand="0" w:evenVBand="0" w:oddHBand="0" w:evenHBand="0" w:firstRowFirstColumn="0" w:firstRowLastColumn="0" w:lastRowFirstColumn="0" w:lastRowLastColumn="0"/>
            <w:tcW w:w="2337" w:type="dxa"/>
          </w:tcPr>
          <w:p w14:paraId="07482B85" w14:textId="77777777" w:rsidR="00902105" w:rsidRDefault="001F2D81" w:rsidP="00902105">
            <w:pPr>
              <w:jc w:val="both"/>
            </w:pPr>
            <w:r w:rsidRPr="001F2D81">
              <w:rPr>
                <w:b w:val="0"/>
                <w:caps w:val="0"/>
                <w:noProof/>
                <w:position w:val="-4"/>
              </w:rPr>
              <w:object w:dxaOrig="320" w:dyaOrig="320" w14:anchorId="719B310C">
                <v:shape id="_x0000_i1036" type="#_x0000_t75" alt="" style="width:16.15pt;height:16.15pt;mso-width-percent:0;mso-height-percent:0;mso-width-percent:0;mso-height-percent:0" o:ole="">
                  <v:imagedata r:id="rId20" o:title=""/>
                </v:shape>
                <o:OLEObject Type="Embed" ProgID="Equation.DSMT4" ShapeID="_x0000_i1036" DrawAspect="Content" ObjectID="_1610443077" r:id="rId21"/>
              </w:object>
            </w:r>
            <w:r w:rsidR="00902105">
              <w:t xml:space="preserve"> </w:t>
            </w:r>
          </w:p>
        </w:tc>
        <w:tc>
          <w:tcPr>
            <w:tcW w:w="2337" w:type="dxa"/>
          </w:tcPr>
          <w:p w14:paraId="76BA3626"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1.11</w:t>
            </w:r>
          </w:p>
        </w:tc>
        <w:tc>
          <w:tcPr>
            <w:tcW w:w="2338" w:type="dxa"/>
          </w:tcPr>
          <w:p w14:paraId="60BC4FC8"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1.07</w:t>
            </w:r>
          </w:p>
        </w:tc>
        <w:tc>
          <w:tcPr>
            <w:tcW w:w="2338" w:type="dxa"/>
          </w:tcPr>
          <w:p w14:paraId="334D8ECA"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1.06</w:t>
            </w:r>
          </w:p>
          <w:p w14:paraId="416B9AC6"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p>
        </w:tc>
      </w:tr>
      <w:tr w:rsidR="00902105" w14:paraId="5BDC7E2E" w14:textId="77777777" w:rsidTr="00902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9FE838" w14:textId="77777777" w:rsidR="00902105" w:rsidRDefault="001F2D81" w:rsidP="00902105">
            <w:pPr>
              <w:jc w:val="both"/>
            </w:pPr>
            <w:r w:rsidRPr="001F2D81">
              <w:rPr>
                <w:b w:val="0"/>
                <w:caps w:val="0"/>
                <w:noProof/>
                <w:position w:val="-12"/>
              </w:rPr>
              <w:object w:dxaOrig="880" w:dyaOrig="380" w14:anchorId="767ABEF0">
                <v:shape id="_x0000_i1035" type="#_x0000_t75" alt="" style="width:43.45pt;height:18.6pt;mso-width-percent:0;mso-height-percent:0;mso-width-percent:0;mso-height-percent:0" o:ole="">
                  <v:imagedata r:id="rId22" o:title=""/>
                </v:shape>
                <o:OLEObject Type="Embed" ProgID="Equation.DSMT4" ShapeID="_x0000_i1035" DrawAspect="Content" ObjectID="_1610443078" r:id="rId23"/>
              </w:object>
            </w:r>
          </w:p>
        </w:tc>
        <w:tc>
          <w:tcPr>
            <w:tcW w:w="2337" w:type="dxa"/>
          </w:tcPr>
          <w:p w14:paraId="409CB623"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-0.4</w:t>
            </w:r>
          </w:p>
        </w:tc>
        <w:tc>
          <w:tcPr>
            <w:tcW w:w="2338" w:type="dxa"/>
          </w:tcPr>
          <w:p w14:paraId="5704380D"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-0.37</w:t>
            </w:r>
          </w:p>
        </w:tc>
        <w:tc>
          <w:tcPr>
            <w:tcW w:w="2338" w:type="dxa"/>
          </w:tcPr>
          <w:p w14:paraId="57E734AC"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-0.34</w:t>
            </w:r>
          </w:p>
        </w:tc>
      </w:tr>
      <w:bookmarkStart w:id="3" w:name="MTBlankEqn"/>
      <w:tr w:rsidR="00902105" w14:paraId="2C57FB85" w14:textId="77777777" w:rsidTr="00902105">
        <w:tc>
          <w:tcPr>
            <w:cnfStyle w:val="001000000000" w:firstRow="0" w:lastRow="0" w:firstColumn="1" w:lastColumn="0" w:oddVBand="0" w:evenVBand="0" w:oddHBand="0" w:evenHBand="0" w:firstRowFirstColumn="0" w:firstRowLastColumn="0" w:lastRowFirstColumn="0" w:lastRowLastColumn="0"/>
            <w:tcW w:w="2337" w:type="dxa"/>
          </w:tcPr>
          <w:p w14:paraId="34E1806E" w14:textId="77777777" w:rsidR="00902105" w:rsidRDefault="001F2D81" w:rsidP="00902105">
            <w:pPr>
              <w:jc w:val="both"/>
            </w:pPr>
            <w:r w:rsidRPr="001F2D81">
              <w:rPr>
                <w:b w:val="0"/>
                <w:caps w:val="0"/>
                <w:noProof/>
                <w:position w:val="-12"/>
              </w:rPr>
              <w:object w:dxaOrig="920" w:dyaOrig="380" w14:anchorId="23B6BF39">
                <v:shape id="_x0000_i1034" type="#_x0000_t75" alt="" style="width:45.95pt;height:18.6pt;mso-width-percent:0;mso-height-percent:0;mso-width-percent:0;mso-height-percent:0" o:ole="">
                  <v:imagedata r:id="rId24" o:title=""/>
                </v:shape>
                <o:OLEObject Type="Embed" ProgID="Equation.DSMT4" ShapeID="_x0000_i1034" DrawAspect="Content" ObjectID="_1610443079" r:id="rId25"/>
              </w:object>
            </w:r>
            <w:bookmarkEnd w:id="3"/>
            <w:r w:rsidR="00902105">
              <w:t xml:space="preserve"> </w:t>
            </w:r>
          </w:p>
        </w:tc>
        <w:tc>
          <w:tcPr>
            <w:tcW w:w="2337" w:type="dxa"/>
          </w:tcPr>
          <w:p w14:paraId="4A08CE02"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-0.3</w:t>
            </w:r>
          </w:p>
        </w:tc>
        <w:tc>
          <w:tcPr>
            <w:tcW w:w="2338" w:type="dxa"/>
          </w:tcPr>
          <w:p w14:paraId="4ED3F898"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-0.16</w:t>
            </w:r>
          </w:p>
        </w:tc>
        <w:tc>
          <w:tcPr>
            <w:tcW w:w="2338" w:type="dxa"/>
          </w:tcPr>
          <w:p w14:paraId="34F4BF34"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-0.19</w:t>
            </w:r>
          </w:p>
        </w:tc>
      </w:tr>
      <w:tr w:rsidR="00902105" w14:paraId="3385D761" w14:textId="77777777" w:rsidTr="00902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58D7AF" w14:textId="77777777" w:rsidR="00902105" w:rsidRDefault="001F2D81" w:rsidP="00902105">
            <w:pPr>
              <w:jc w:val="both"/>
            </w:pPr>
            <w:r w:rsidRPr="001F2D81">
              <w:rPr>
                <w:b w:val="0"/>
                <w:caps w:val="0"/>
                <w:noProof/>
                <w:position w:val="-12"/>
              </w:rPr>
              <w:object w:dxaOrig="900" w:dyaOrig="380" w14:anchorId="11C5DF7F">
                <v:shape id="_x0000_i1033" type="#_x0000_t75" alt="" style="width:44.7pt;height:18.6pt;mso-width-percent:0;mso-height-percent:0;mso-width-percent:0;mso-height-percent:0" o:ole="">
                  <v:imagedata r:id="rId26" o:title=""/>
                </v:shape>
                <o:OLEObject Type="Embed" ProgID="Equation.DSMT4" ShapeID="_x0000_i1033" DrawAspect="Content" ObjectID="_1610443080" r:id="rId27"/>
              </w:object>
            </w:r>
            <w:r w:rsidR="00902105">
              <w:t xml:space="preserve"> </w:t>
            </w:r>
          </w:p>
        </w:tc>
        <w:tc>
          <w:tcPr>
            <w:tcW w:w="2337" w:type="dxa"/>
          </w:tcPr>
          <w:p w14:paraId="59574185" w14:textId="77777777" w:rsidR="00902105" w:rsidRDefault="00902105" w:rsidP="00902105">
            <w:pPr>
              <w:ind w:left="360"/>
              <w:jc w:val="right"/>
              <w:cnfStyle w:val="000000100000" w:firstRow="0" w:lastRow="0" w:firstColumn="0" w:lastColumn="0" w:oddVBand="0" w:evenVBand="0" w:oddHBand="1" w:evenHBand="0" w:firstRowFirstColumn="0" w:firstRowLastColumn="0" w:lastRowFirstColumn="0" w:lastRowLastColumn="0"/>
            </w:pPr>
            <w:r>
              <w:t>—</w:t>
            </w:r>
          </w:p>
        </w:tc>
        <w:tc>
          <w:tcPr>
            <w:tcW w:w="2338" w:type="dxa"/>
          </w:tcPr>
          <w:p w14:paraId="03796935"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-0.24</w:t>
            </w:r>
          </w:p>
        </w:tc>
        <w:tc>
          <w:tcPr>
            <w:tcW w:w="2338" w:type="dxa"/>
          </w:tcPr>
          <w:p w14:paraId="63C5BA38"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-0.10</w:t>
            </w:r>
          </w:p>
        </w:tc>
      </w:tr>
      <w:tr w:rsidR="00902105" w14:paraId="6A6B4B88" w14:textId="77777777" w:rsidTr="00902105">
        <w:tc>
          <w:tcPr>
            <w:cnfStyle w:val="001000000000" w:firstRow="0" w:lastRow="0" w:firstColumn="1" w:lastColumn="0" w:oddVBand="0" w:evenVBand="0" w:oddHBand="0" w:evenHBand="0" w:firstRowFirstColumn="0" w:firstRowLastColumn="0" w:lastRowFirstColumn="0" w:lastRowLastColumn="0"/>
            <w:tcW w:w="2337" w:type="dxa"/>
            <w:tcBorders>
              <w:bottom w:val="single" w:sz="8" w:space="0" w:color="auto"/>
            </w:tcBorders>
          </w:tcPr>
          <w:p w14:paraId="30A46055" w14:textId="77777777" w:rsidR="00902105" w:rsidRDefault="001F2D81" w:rsidP="00902105">
            <w:pPr>
              <w:jc w:val="both"/>
            </w:pPr>
            <w:r w:rsidRPr="001F2D81">
              <w:rPr>
                <w:b w:val="0"/>
                <w:caps w:val="0"/>
                <w:noProof/>
                <w:position w:val="-12"/>
              </w:rPr>
              <w:object w:dxaOrig="920" w:dyaOrig="380" w14:anchorId="1777B2AF">
                <v:shape id="_x0000_i1032" type="#_x0000_t75" alt="" style="width:45.95pt;height:18.6pt;mso-width-percent:0;mso-height-percent:0;mso-width-percent:0;mso-height-percent:0" o:ole="">
                  <v:imagedata r:id="rId28" o:title=""/>
                </v:shape>
                <o:OLEObject Type="Embed" ProgID="Equation.DSMT4" ShapeID="_x0000_i1032" DrawAspect="Content" ObjectID="_1610443081" r:id="rId29"/>
              </w:object>
            </w:r>
            <w:r w:rsidR="00902105">
              <w:t xml:space="preserve"> </w:t>
            </w:r>
          </w:p>
        </w:tc>
        <w:tc>
          <w:tcPr>
            <w:tcW w:w="2337" w:type="dxa"/>
            <w:tcBorders>
              <w:bottom w:val="single" w:sz="8" w:space="0" w:color="auto"/>
            </w:tcBorders>
          </w:tcPr>
          <w:p w14:paraId="2D106A48"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w:t>
            </w:r>
          </w:p>
        </w:tc>
        <w:tc>
          <w:tcPr>
            <w:tcW w:w="2338" w:type="dxa"/>
            <w:tcBorders>
              <w:bottom w:val="single" w:sz="8" w:space="0" w:color="auto"/>
            </w:tcBorders>
          </w:tcPr>
          <w:p w14:paraId="69CA17FB"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w:t>
            </w:r>
          </w:p>
        </w:tc>
        <w:tc>
          <w:tcPr>
            <w:tcW w:w="2338" w:type="dxa"/>
            <w:tcBorders>
              <w:bottom w:val="single" w:sz="8" w:space="0" w:color="auto"/>
            </w:tcBorders>
          </w:tcPr>
          <w:p w14:paraId="0906F17F"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-0.22</w:t>
            </w:r>
          </w:p>
        </w:tc>
      </w:tr>
    </w:tbl>
    <w:p w14:paraId="313D9BAA" w14:textId="77777777" w:rsidR="00902105" w:rsidRDefault="00902105" w:rsidP="008C3509"/>
    <w:p w14:paraId="23899AE2" w14:textId="7B482A28" w:rsidR="00902105" w:rsidRDefault="00902105" w:rsidP="00902105">
      <w:pPr>
        <w:jc w:val="both"/>
      </w:pPr>
      <w:r>
        <w:t xml:space="preserve">What we see is that </w:t>
      </w:r>
      <w:r w:rsidR="00331693">
        <w:t xml:space="preserve">upon oxidation of the BIP, subsequent proton transfer is thermodynamically favorable. </w:t>
      </w:r>
      <w:r>
        <w:t>The energetic benefit for each</w:t>
      </w:r>
      <w:r w:rsidR="006F63BB">
        <w:t xml:space="preserve"> </w:t>
      </w:r>
      <w:r w:rsidR="006F63BB">
        <w:rPr>
          <w:i/>
        </w:rPr>
        <w:t>n</w:t>
      </w:r>
      <w:r>
        <w:rPr>
          <w:i/>
        </w:rPr>
        <w:t xml:space="preserve"> </w:t>
      </w:r>
      <w:r>
        <w:t xml:space="preserve">subsequent proton transfer, denoted by </w:t>
      </w:r>
      <w:r w:rsidR="001F2D81" w:rsidRPr="00902105">
        <w:rPr>
          <w:noProof/>
          <w:position w:val="-12"/>
        </w:rPr>
        <w:object w:dxaOrig="920" w:dyaOrig="380" w14:anchorId="562F56DA">
          <v:shape id="_x0000_i1031" type="#_x0000_t75" alt="" style="width:45.95pt;height:18.6pt;mso-width-percent:0;mso-height-percent:0;mso-width-percent:0;mso-height-percent:0" o:ole="">
            <v:imagedata r:id="rId30" o:title=""/>
          </v:shape>
          <o:OLEObject Type="Embed" ProgID="Equation.DSMT4" ShapeID="_x0000_i1031" DrawAspect="Content" ObjectID="_1610443082" r:id="rId31"/>
        </w:object>
      </w:r>
      <w:r>
        <w:t xml:space="preserve">, demonstrates that with each subsequent proton transfer, the overall </w:t>
      </w:r>
      <w:r w:rsidR="00331693">
        <w:t>reaction</w:t>
      </w:r>
      <w:r>
        <w:t xml:space="preserve"> becomes more </w:t>
      </w:r>
      <w:r w:rsidR="00F75103">
        <w:t>thermodynamically favorable</w:t>
      </w:r>
      <w:r>
        <w:t xml:space="preserve">. However, there are diminishing energetic returns for each proton transfer, and it appears that with each proton transfer </w:t>
      </w:r>
      <w:r w:rsidR="00F75103">
        <w:t xml:space="preserve">in a given complex, </w:t>
      </w:r>
      <w:r>
        <w:t>the shift in potential roughly halves. The exception is on the final proton transfer to the imine. With this final proton transfer, the shift in redox potential is given an extra “push”. The reason for this favorable shift is likely due to the nature of the transfer from benzimidazolium to imine, as well as the cyclohexyl substituent.</w:t>
      </w:r>
    </w:p>
    <w:p w14:paraId="71078692" w14:textId="77777777" w:rsidR="009E6D6F" w:rsidRDefault="009E6D6F" w:rsidP="00902105">
      <w:pPr>
        <w:jc w:val="both"/>
      </w:pPr>
    </w:p>
    <w:p w14:paraId="6F95C137" w14:textId="4491FD6F" w:rsidR="00703F88" w:rsidRPr="00A07B51" w:rsidRDefault="009E6D6F" w:rsidP="00331693">
      <w:pPr>
        <w:jc w:val="both"/>
      </w:pPr>
      <w:r>
        <w:t xml:space="preserve">The shifts in </w:t>
      </w:r>
      <w:r w:rsidR="001F2D81" w:rsidRPr="009E6D6F">
        <w:rPr>
          <w:noProof/>
          <w:position w:val="-12"/>
        </w:rPr>
        <w:object w:dxaOrig="620" w:dyaOrig="380" w14:anchorId="07A1580B">
          <v:shape id="_x0000_i1030" type="#_x0000_t75" alt="" style="width:31.05pt;height:18.6pt;mso-width-percent:0;mso-height-percent:0;mso-width-percent:0;mso-height-percent:0" o:ole="">
            <v:imagedata r:id="rId32" o:title=""/>
          </v:shape>
          <o:OLEObject Type="Embed" ProgID="Equation.DSMT4" ShapeID="_x0000_i1030" DrawAspect="Content" ObjectID="_1610443083" r:id="rId33"/>
        </w:object>
      </w:r>
      <w:r>
        <w:t xml:space="preserve"> tell us that </w:t>
      </w:r>
      <w:r w:rsidR="00331693">
        <w:t>there are limits to the length of the</w:t>
      </w:r>
      <w:r>
        <w:t xml:space="preserve"> BIP-cyclohexylimine</w:t>
      </w:r>
      <w:r w:rsidR="00331693">
        <w:t xml:space="preserve"> series</w:t>
      </w:r>
      <w:r>
        <w:t xml:space="preserve"> </w:t>
      </w:r>
      <w:r w:rsidR="00331693">
        <w:t>should we still want to observe</w:t>
      </w:r>
      <w:r>
        <w:t xml:space="preserve"> full proton transfer. At a certain point, we would expect that the final proton transfer would </w:t>
      </w:r>
      <w:r w:rsidR="00F75103">
        <w:t>no longer provide any thermodynamic benefit</w:t>
      </w:r>
      <w:r>
        <w:t>. This of course, will change upon change of the substituent.</w:t>
      </w:r>
      <w:r w:rsidR="00331693">
        <w:t xml:space="preserve"> A full summary of the computed redox potentials for the BIP-cyclohexylimine series is given in Table 2.</w:t>
      </w:r>
      <w:r w:rsidR="00C252DA">
        <w:tab/>
      </w:r>
    </w:p>
    <w:tbl>
      <w:tblPr>
        <w:tblStyle w:val="PlainTable3"/>
        <w:tblpPr w:leftFromText="180" w:rightFromText="180" w:vertAnchor="text" w:horzAnchor="margin" w:tblpY="453"/>
        <w:tblW w:w="0" w:type="auto"/>
        <w:tblLook w:val="04A0" w:firstRow="1" w:lastRow="0" w:firstColumn="1" w:lastColumn="0" w:noHBand="0" w:noVBand="1"/>
      </w:tblPr>
      <w:tblGrid>
        <w:gridCol w:w="2337"/>
        <w:gridCol w:w="2337"/>
        <w:gridCol w:w="2338"/>
        <w:gridCol w:w="2338"/>
      </w:tblGrid>
      <w:tr w:rsidR="00331693" w:rsidRPr="006C5DC5" w14:paraId="2172B7B5" w14:textId="77777777" w:rsidTr="00912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Borders>
              <w:bottom w:val="single" w:sz="8" w:space="0" w:color="auto"/>
            </w:tcBorders>
          </w:tcPr>
          <w:p w14:paraId="46B4CEEA" w14:textId="6D8F3240" w:rsidR="00331693" w:rsidRDefault="00331693" w:rsidP="00331693">
            <w:r w:rsidRPr="00261B96">
              <w:rPr>
                <w:caps w:val="0"/>
              </w:rPr>
              <w:t>Table 2.</w:t>
            </w:r>
            <w:r>
              <w:rPr>
                <w:b w:val="0"/>
                <w:caps w:val="0"/>
              </w:rPr>
              <w:t xml:space="preserve"> Overall reduction potentials (</w:t>
            </w:r>
            <w:bookmarkStart w:id="4" w:name="_GoBack"/>
            <w:bookmarkEnd w:id="4"/>
            <w:r w:rsidR="006F63BB">
              <w:rPr>
                <w:b w:val="0"/>
                <w:caps w:val="0"/>
              </w:rPr>
              <w:t>V vs Fc</w:t>
            </w:r>
            <w:r w:rsidR="006F63BB">
              <w:rPr>
                <w:b w:val="0"/>
                <w:caps w:val="0"/>
                <w:vertAlign w:val="superscript"/>
              </w:rPr>
              <w:t>+</w:t>
            </w:r>
            <w:r w:rsidR="006F63BB">
              <w:rPr>
                <w:b w:val="0"/>
                <w:caps w:val="0"/>
              </w:rPr>
              <w:t>/Fc</w:t>
            </w:r>
            <w:r>
              <w:rPr>
                <w:b w:val="0"/>
                <w:caps w:val="0"/>
              </w:rPr>
              <w:t>) as a function of proton transfer for BIP-</w:t>
            </w:r>
            <w:proofErr w:type="spellStart"/>
            <w:r>
              <w:rPr>
                <w:b w:val="0"/>
                <w:caps w:val="0"/>
              </w:rPr>
              <w:t>cycl</w:t>
            </w:r>
            <w:r w:rsidR="00F75103">
              <w:rPr>
                <w:b w:val="0"/>
                <w:caps w:val="0"/>
              </w:rPr>
              <w:t>ohexylimines</w:t>
            </w:r>
            <w:proofErr w:type="spellEnd"/>
            <w:r w:rsidR="00F75103">
              <w:rPr>
                <w:b w:val="0"/>
                <w:caps w:val="0"/>
              </w:rPr>
              <w:t xml:space="preserve"> with differen</w:t>
            </w:r>
            <w:r>
              <w:rPr>
                <w:b w:val="0"/>
                <w:caps w:val="0"/>
              </w:rPr>
              <w:t>t numbers of benzimidazole moieties.</w:t>
            </w:r>
          </w:p>
        </w:tc>
      </w:tr>
      <w:tr w:rsidR="009E6D6F" w:rsidRPr="006C5DC5" w14:paraId="6721E705" w14:textId="77777777" w:rsidTr="00331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8" w:space="0" w:color="auto"/>
              <w:bottom w:val="single" w:sz="4" w:space="0" w:color="auto"/>
            </w:tcBorders>
          </w:tcPr>
          <w:p w14:paraId="5F22496C" w14:textId="77777777" w:rsidR="009E6D6F" w:rsidRPr="006C5DC5" w:rsidRDefault="009E6D6F" w:rsidP="009E6D6F">
            <w:pPr>
              <w:rPr>
                <w:b w:val="0"/>
                <w:caps w:val="0"/>
              </w:rPr>
            </w:pPr>
            <w:r>
              <w:rPr>
                <w:b w:val="0"/>
                <w:caps w:val="0"/>
              </w:rPr>
              <w:t>Reduction potential (V)</w:t>
            </w:r>
          </w:p>
        </w:tc>
        <w:tc>
          <w:tcPr>
            <w:tcW w:w="2337" w:type="dxa"/>
            <w:tcBorders>
              <w:top w:val="single" w:sz="8" w:space="0" w:color="auto"/>
              <w:bottom w:val="single" w:sz="4" w:space="0" w:color="auto"/>
            </w:tcBorders>
          </w:tcPr>
          <w:p w14:paraId="4167AA8C" w14:textId="77777777" w:rsidR="009E6D6F" w:rsidRPr="006C5DC5" w:rsidRDefault="009E6D6F" w:rsidP="009E6D6F">
            <w:pPr>
              <w:jc w:val="right"/>
              <w:cnfStyle w:val="000000100000" w:firstRow="0" w:lastRow="0" w:firstColumn="0" w:lastColumn="0" w:oddVBand="0" w:evenVBand="0" w:oddHBand="1" w:evenHBand="0" w:firstRowFirstColumn="0" w:firstRowLastColumn="0" w:lastRowFirstColumn="0" w:lastRowLastColumn="0"/>
              <w:rPr>
                <w:b/>
                <w:caps/>
              </w:rPr>
            </w:pPr>
            <w:r>
              <w:t>mono-</w:t>
            </w:r>
            <w:r w:rsidRPr="006C5DC5">
              <w:t>BIP-cyclohexylimine</w:t>
            </w:r>
          </w:p>
        </w:tc>
        <w:tc>
          <w:tcPr>
            <w:tcW w:w="2338" w:type="dxa"/>
            <w:tcBorders>
              <w:top w:val="single" w:sz="8" w:space="0" w:color="auto"/>
              <w:bottom w:val="single" w:sz="4" w:space="0" w:color="auto"/>
            </w:tcBorders>
          </w:tcPr>
          <w:p w14:paraId="41068F6E" w14:textId="77777777" w:rsidR="009E6D6F" w:rsidRPr="006C5DC5" w:rsidRDefault="009E6D6F" w:rsidP="009E6D6F">
            <w:pPr>
              <w:jc w:val="right"/>
              <w:cnfStyle w:val="000000100000" w:firstRow="0" w:lastRow="0" w:firstColumn="0" w:lastColumn="0" w:oddVBand="0" w:evenVBand="0" w:oddHBand="1" w:evenHBand="0" w:firstRowFirstColumn="0" w:firstRowLastColumn="0" w:lastRowFirstColumn="0" w:lastRowLastColumn="0"/>
              <w:rPr>
                <w:b/>
                <w:caps/>
              </w:rPr>
            </w:pPr>
            <w:r w:rsidRPr="006C5DC5">
              <w:t>di</w:t>
            </w:r>
            <w:r>
              <w:t>-BIP-cyclohexylimine</w:t>
            </w:r>
          </w:p>
        </w:tc>
        <w:tc>
          <w:tcPr>
            <w:tcW w:w="2338" w:type="dxa"/>
            <w:tcBorders>
              <w:top w:val="single" w:sz="8" w:space="0" w:color="auto"/>
              <w:bottom w:val="single" w:sz="4" w:space="0" w:color="auto"/>
            </w:tcBorders>
          </w:tcPr>
          <w:p w14:paraId="33B94F3F" w14:textId="77777777" w:rsidR="009E6D6F" w:rsidRPr="006C5DC5" w:rsidRDefault="009E6D6F" w:rsidP="009E6D6F">
            <w:pPr>
              <w:jc w:val="right"/>
              <w:cnfStyle w:val="000000100000" w:firstRow="0" w:lastRow="0" w:firstColumn="0" w:lastColumn="0" w:oddVBand="0" w:evenVBand="0" w:oddHBand="1" w:evenHBand="0" w:firstRowFirstColumn="0" w:firstRowLastColumn="0" w:lastRowFirstColumn="0" w:lastRowLastColumn="0"/>
              <w:rPr>
                <w:b/>
                <w:caps/>
              </w:rPr>
            </w:pPr>
            <w:r>
              <w:t>tri-BIP-cyclohexylimine</w:t>
            </w:r>
          </w:p>
        </w:tc>
      </w:tr>
      <w:tr w:rsidR="009E6D6F" w14:paraId="4B8B418C" w14:textId="77777777" w:rsidTr="00331693">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tcPr>
          <w:p w14:paraId="1AA8A16E" w14:textId="00440A5C" w:rsidR="009E6D6F" w:rsidRPr="00902105" w:rsidRDefault="001F2D81" w:rsidP="009E6D6F">
            <w:pPr>
              <w:jc w:val="both"/>
              <w:rPr>
                <w:b w:val="0"/>
                <w:caps w:val="0"/>
              </w:rPr>
            </w:pPr>
            <w:r w:rsidRPr="001F2D81">
              <w:rPr>
                <w:b w:val="0"/>
                <w:caps w:val="0"/>
                <w:noProof/>
                <w:position w:val="-10"/>
              </w:rPr>
              <w:object w:dxaOrig="1060" w:dyaOrig="380" w14:anchorId="08BB7ABA">
                <v:shape id="_x0000_i1029" type="#_x0000_t75" alt="" style="width:53.4pt;height:18.6pt;mso-width-percent:0;mso-height-percent:0;mso-width-percent:0;mso-height-percent:0" o:ole="">
                  <v:imagedata r:id="rId34" o:title=""/>
                </v:shape>
                <o:OLEObject Type="Embed" ProgID="Equation.DSMT4" ShapeID="_x0000_i1029" DrawAspect="Content" ObjectID="_1610443084" r:id="rId35"/>
              </w:object>
            </w:r>
            <w:r w:rsidR="00C37067">
              <w:rPr>
                <w:b w:val="0"/>
                <w:caps w:val="0"/>
              </w:rPr>
              <w:t xml:space="preserve"> </w:t>
            </w:r>
          </w:p>
        </w:tc>
        <w:tc>
          <w:tcPr>
            <w:tcW w:w="2337" w:type="dxa"/>
            <w:tcBorders>
              <w:top w:val="single" w:sz="4" w:space="0" w:color="auto"/>
            </w:tcBorders>
          </w:tcPr>
          <w:p w14:paraId="5245C10B"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1.11</w:t>
            </w:r>
          </w:p>
        </w:tc>
        <w:tc>
          <w:tcPr>
            <w:tcW w:w="2338" w:type="dxa"/>
            <w:tcBorders>
              <w:top w:val="single" w:sz="4" w:space="0" w:color="auto"/>
            </w:tcBorders>
          </w:tcPr>
          <w:p w14:paraId="590B92CB"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1.07</w:t>
            </w:r>
          </w:p>
        </w:tc>
        <w:tc>
          <w:tcPr>
            <w:tcW w:w="2338" w:type="dxa"/>
            <w:tcBorders>
              <w:top w:val="single" w:sz="4" w:space="0" w:color="auto"/>
            </w:tcBorders>
          </w:tcPr>
          <w:p w14:paraId="2C0B60BF"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1.06</w:t>
            </w:r>
          </w:p>
        </w:tc>
      </w:tr>
      <w:tr w:rsidR="009E6D6F" w14:paraId="24159144" w14:textId="77777777" w:rsidTr="009E6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5E809C" w14:textId="404CF493" w:rsidR="009E6D6F" w:rsidRPr="00902105" w:rsidRDefault="001F2D81" w:rsidP="009E6D6F">
            <w:pPr>
              <w:jc w:val="both"/>
              <w:rPr>
                <w:b w:val="0"/>
                <w:caps w:val="0"/>
              </w:rPr>
            </w:pPr>
            <w:r w:rsidRPr="001F2D81">
              <w:rPr>
                <w:b w:val="0"/>
                <w:caps w:val="0"/>
                <w:noProof/>
                <w:position w:val="-10"/>
              </w:rPr>
              <w:object w:dxaOrig="1060" w:dyaOrig="380" w14:anchorId="4CACC177">
                <v:shape id="_x0000_i1028" type="#_x0000_t75" alt="" style="width:53.4pt;height:18.6pt;mso-width-percent:0;mso-height-percent:0;mso-width-percent:0;mso-height-percent:0" o:ole="">
                  <v:imagedata r:id="rId36" o:title=""/>
                </v:shape>
                <o:OLEObject Type="Embed" ProgID="Equation.DSMT4" ShapeID="_x0000_i1028" DrawAspect="Content" ObjectID="_1610443085" r:id="rId37"/>
              </w:object>
            </w:r>
          </w:p>
        </w:tc>
        <w:tc>
          <w:tcPr>
            <w:tcW w:w="2337" w:type="dxa"/>
          </w:tcPr>
          <w:p w14:paraId="1C78B7F7"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0.71</w:t>
            </w:r>
          </w:p>
        </w:tc>
        <w:tc>
          <w:tcPr>
            <w:tcW w:w="2338" w:type="dxa"/>
          </w:tcPr>
          <w:p w14:paraId="5E3649A8"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0.70</w:t>
            </w:r>
          </w:p>
        </w:tc>
        <w:tc>
          <w:tcPr>
            <w:tcW w:w="2338" w:type="dxa"/>
          </w:tcPr>
          <w:p w14:paraId="63B4A472"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0.72</w:t>
            </w:r>
          </w:p>
        </w:tc>
      </w:tr>
      <w:tr w:rsidR="009E6D6F" w14:paraId="2B8B13D6" w14:textId="77777777" w:rsidTr="009E6D6F">
        <w:tc>
          <w:tcPr>
            <w:cnfStyle w:val="001000000000" w:firstRow="0" w:lastRow="0" w:firstColumn="1" w:lastColumn="0" w:oddVBand="0" w:evenVBand="0" w:oddHBand="0" w:evenHBand="0" w:firstRowFirstColumn="0" w:firstRowLastColumn="0" w:lastRowFirstColumn="0" w:lastRowLastColumn="0"/>
            <w:tcW w:w="2337" w:type="dxa"/>
          </w:tcPr>
          <w:p w14:paraId="6A72AE19" w14:textId="60C7F8BF" w:rsidR="009E6D6F" w:rsidRPr="00902105" w:rsidRDefault="001F2D81" w:rsidP="009E6D6F">
            <w:pPr>
              <w:jc w:val="both"/>
              <w:rPr>
                <w:b w:val="0"/>
                <w:caps w:val="0"/>
              </w:rPr>
            </w:pPr>
            <w:r w:rsidRPr="001F2D81">
              <w:rPr>
                <w:b w:val="0"/>
                <w:caps w:val="0"/>
                <w:noProof/>
                <w:position w:val="-10"/>
              </w:rPr>
              <w:object w:dxaOrig="1060" w:dyaOrig="380" w14:anchorId="128498A8">
                <v:shape id="_x0000_i1027" type="#_x0000_t75" alt="" style="width:53.4pt;height:18.6pt;mso-width-percent:0;mso-height-percent:0;mso-width-percent:0;mso-height-percent:0" o:ole="">
                  <v:imagedata r:id="rId38" o:title=""/>
                </v:shape>
                <o:OLEObject Type="Embed" ProgID="Equation.DSMT4" ShapeID="_x0000_i1027" DrawAspect="Content" ObjectID="_1610443086" r:id="rId39"/>
              </w:object>
            </w:r>
          </w:p>
        </w:tc>
        <w:tc>
          <w:tcPr>
            <w:tcW w:w="2337" w:type="dxa"/>
          </w:tcPr>
          <w:p w14:paraId="4C8DF176" w14:textId="77777777" w:rsidR="009E6D6F" w:rsidRPr="00331693" w:rsidRDefault="009E6D6F" w:rsidP="009E6D6F">
            <w:pPr>
              <w:jc w:val="right"/>
              <w:cnfStyle w:val="000000000000" w:firstRow="0" w:lastRow="0" w:firstColumn="0" w:lastColumn="0" w:oddVBand="0" w:evenVBand="0" w:oddHBand="0" w:evenHBand="0" w:firstRowFirstColumn="0" w:firstRowLastColumn="0" w:lastRowFirstColumn="0" w:lastRowLastColumn="0"/>
              <w:rPr>
                <w:b/>
              </w:rPr>
            </w:pPr>
            <w:r w:rsidRPr="00331693">
              <w:rPr>
                <w:b/>
              </w:rPr>
              <w:t>0.41</w:t>
            </w:r>
          </w:p>
        </w:tc>
        <w:tc>
          <w:tcPr>
            <w:tcW w:w="2338" w:type="dxa"/>
          </w:tcPr>
          <w:p w14:paraId="7C7529C9"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0.54</w:t>
            </w:r>
          </w:p>
        </w:tc>
        <w:tc>
          <w:tcPr>
            <w:tcW w:w="2338" w:type="dxa"/>
          </w:tcPr>
          <w:p w14:paraId="35D0EFC4"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0.53</w:t>
            </w:r>
          </w:p>
        </w:tc>
      </w:tr>
      <w:tr w:rsidR="009E6D6F" w14:paraId="2DF35D76" w14:textId="77777777" w:rsidTr="009E6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84C639" w14:textId="0F9FF11A" w:rsidR="009E6D6F" w:rsidRPr="00902105" w:rsidRDefault="001F2D81" w:rsidP="009E6D6F">
            <w:pPr>
              <w:jc w:val="both"/>
              <w:rPr>
                <w:b w:val="0"/>
                <w:caps w:val="0"/>
              </w:rPr>
            </w:pPr>
            <w:r w:rsidRPr="001F2D81">
              <w:rPr>
                <w:b w:val="0"/>
                <w:caps w:val="0"/>
                <w:noProof/>
                <w:position w:val="-10"/>
              </w:rPr>
              <w:object w:dxaOrig="1060" w:dyaOrig="380" w14:anchorId="3DCCA46E">
                <v:shape id="_x0000_i1026" type="#_x0000_t75" alt="" style="width:53.4pt;height:18.6pt;mso-width-percent:0;mso-height-percent:0;mso-width-percent:0;mso-height-percent:0" o:ole="">
                  <v:imagedata r:id="rId40" o:title=""/>
                </v:shape>
                <o:OLEObject Type="Embed" ProgID="Equation.DSMT4" ShapeID="_x0000_i1026" DrawAspect="Content" ObjectID="_1610443087" r:id="rId41"/>
              </w:object>
            </w:r>
          </w:p>
        </w:tc>
        <w:tc>
          <w:tcPr>
            <w:tcW w:w="2337" w:type="dxa"/>
          </w:tcPr>
          <w:p w14:paraId="2DB52524" w14:textId="77777777" w:rsidR="009E6D6F" w:rsidRPr="00902105" w:rsidRDefault="009E6D6F" w:rsidP="009E6D6F">
            <w:pPr>
              <w:ind w:left="360"/>
              <w:jc w:val="right"/>
              <w:cnfStyle w:val="000000100000" w:firstRow="0" w:lastRow="0" w:firstColumn="0" w:lastColumn="0" w:oddVBand="0" w:evenVBand="0" w:oddHBand="1" w:evenHBand="0" w:firstRowFirstColumn="0" w:firstRowLastColumn="0" w:lastRowFirstColumn="0" w:lastRowLastColumn="0"/>
            </w:pPr>
            <w:r w:rsidRPr="00902105">
              <w:t>—</w:t>
            </w:r>
          </w:p>
        </w:tc>
        <w:tc>
          <w:tcPr>
            <w:tcW w:w="2338" w:type="dxa"/>
          </w:tcPr>
          <w:p w14:paraId="195EA4E8" w14:textId="60AF0D13" w:rsidR="009E6D6F" w:rsidRPr="00331693" w:rsidRDefault="009E6D6F" w:rsidP="009E6D6F">
            <w:pPr>
              <w:jc w:val="right"/>
              <w:cnfStyle w:val="000000100000" w:firstRow="0" w:lastRow="0" w:firstColumn="0" w:lastColumn="0" w:oddVBand="0" w:evenVBand="0" w:oddHBand="1" w:evenHBand="0" w:firstRowFirstColumn="0" w:firstRowLastColumn="0" w:lastRowFirstColumn="0" w:lastRowLastColumn="0"/>
              <w:rPr>
                <w:b/>
                <w:vertAlign w:val="superscript"/>
              </w:rPr>
            </w:pPr>
            <w:r w:rsidRPr="00331693">
              <w:rPr>
                <w:b/>
              </w:rPr>
              <w:t>0.30</w:t>
            </w:r>
            <w:r w:rsidR="00331693" w:rsidRPr="00331693">
              <w:rPr>
                <w:vertAlign w:val="superscript"/>
              </w:rPr>
              <w:t>a</w:t>
            </w:r>
          </w:p>
        </w:tc>
        <w:tc>
          <w:tcPr>
            <w:tcW w:w="2338" w:type="dxa"/>
          </w:tcPr>
          <w:p w14:paraId="5EE90F0D"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0.43</w:t>
            </w:r>
          </w:p>
        </w:tc>
      </w:tr>
      <w:tr w:rsidR="009E6D6F" w14:paraId="257DD4FD" w14:textId="77777777" w:rsidTr="00331693">
        <w:tc>
          <w:tcPr>
            <w:cnfStyle w:val="001000000000" w:firstRow="0" w:lastRow="0" w:firstColumn="1" w:lastColumn="0" w:oddVBand="0" w:evenVBand="0" w:oddHBand="0" w:evenHBand="0" w:firstRowFirstColumn="0" w:firstRowLastColumn="0" w:lastRowFirstColumn="0" w:lastRowLastColumn="0"/>
            <w:tcW w:w="2337" w:type="dxa"/>
            <w:tcBorders>
              <w:bottom w:val="single" w:sz="8" w:space="0" w:color="auto"/>
            </w:tcBorders>
          </w:tcPr>
          <w:p w14:paraId="6C553562" w14:textId="340E3790" w:rsidR="009E6D6F" w:rsidRPr="00902105" w:rsidRDefault="001F2D81" w:rsidP="009E6D6F">
            <w:pPr>
              <w:jc w:val="both"/>
              <w:rPr>
                <w:b w:val="0"/>
                <w:caps w:val="0"/>
              </w:rPr>
            </w:pPr>
            <w:r w:rsidRPr="001F2D81">
              <w:rPr>
                <w:b w:val="0"/>
                <w:caps w:val="0"/>
                <w:noProof/>
                <w:position w:val="-10"/>
              </w:rPr>
              <w:object w:dxaOrig="1060" w:dyaOrig="380" w14:anchorId="1406C00F">
                <v:shape id="_x0000_i1025" type="#_x0000_t75" alt="" style="width:53.4pt;height:18.6pt;mso-width-percent:0;mso-height-percent:0;mso-width-percent:0;mso-height-percent:0" o:ole="">
                  <v:imagedata r:id="rId42" o:title=""/>
                </v:shape>
                <o:OLEObject Type="Embed" ProgID="Equation.DSMT4" ShapeID="_x0000_i1025" DrawAspect="Content" ObjectID="_1610443088" r:id="rId43"/>
              </w:object>
            </w:r>
          </w:p>
        </w:tc>
        <w:tc>
          <w:tcPr>
            <w:tcW w:w="2337" w:type="dxa"/>
            <w:tcBorders>
              <w:bottom w:val="single" w:sz="8" w:space="0" w:color="auto"/>
            </w:tcBorders>
          </w:tcPr>
          <w:p w14:paraId="1BEDCF50"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rsidRPr="00902105">
              <w:t>—</w:t>
            </w:r>
          </w:p>
        </w:tc>
        <w:tc>
          <w:tcPr>
            <w:tcW w:w="2338" w:type="dxa"/>
            <w:tcBorders>
              <w:bottom w:val="single" w:sz="8" w:space="0" w:color="auto"/>
            </w:tcBorders>
          </w:tcPr>
          <w:p w14:paraId="0D36FA52"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rsidRPr="00902105">
              <w:t>—</w:t>
            </w:r>
          </w:p>
        </w:tc>
        <w:tc>
          <w:tcPr>
            <w:tcW w:w="2338" w:type="dxa"/>
            <w:tcBorders>
              <w:bottom w:val="single" w:sz="8" w:space="0" w:color="auto"/>
            </w:tcBorders>
          </w:tcPr>
          <w:p w14:paraId="112DCF7E" w14:textId="77777777" w:rsidR="009E6D6F" w:rsidRPr="00331693" w:rsidRDefault="009E6D6F" w:rsidP="009E6D6F">
            <w:pPr>
              <w:jc w:val="right"/>
              <w:cnfStyle w:val="000000000000" w:firstRow="0" w:lastRow="0" w:firstColumn="0" w:lastColumn="0" w:oddVBand="0" w:evenVBand="0" w:oddHBand="0" w:evenHBand="0" w:firstRowFirstColumn="0" w:firstRowLastColumn="0" w:lastRowFirstColumn="0" w:lastRowLastColumn="0"/>
              <w:rPr>
                <w:b/>
              </w:rPr>
            </w:pPr>
            <w:r w:rsidRPr="00331693">
              <w:rPr>
                <w:b/>
              </w:rPr>
              <w:t>0.21</w:t>
            </w:r>
          </w:p>
        </w:tc>
      </w:tr>
      <w:tr w:rsidR="00331693" w14:paraId="43AA4906" w14:textId="77777777" w:rsidTr="00331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8" w:space="0" w:color="auto"/>
              <w:right w:val="none" w:sz="0" w:space="0" w:color="auto"/>
            </w:tcBorders>
            <w:shd w:val="clear" w:color="auto" w:fill="auto"/>
          </w:tcPr>
          <w:p w14:paraId="24BB61F9" w14:textId="296DCC1C" w:rsidR="00331693" w:rsidRPr="00331693" w:rsidRDefault="00331693" w:rsidP="00331693">
            <w:pPr>
              <w:rPr>
                <w:b w:val="0"/>
                <w:caps w:val="0"/>
              </w:rPr>
            </w:pPr>
            <w:proofErr w:type="spellStart"/>
            <w:r>
              <w:rPr>
                <w:b w:val="0"/>
                <w:caps w:val="0"/>
                <w:vertAlign w:val="superscript"/>
              </w:rPr>
              <w:t>a</w:t>
            </w:r>
            <w:r>
              <w:rPr>
                <w:b w:val="0"/>
                <w:caps w:val="0"/>
              </w:rPr>
              <w:t>Agrees</w:t>
            </w:r>
            <w:proofErr w:type="spellEnd"/>
            <w:r>
              <w:rPr>
                <w:b w:val="0"/>
                <w:caps w:val="0"/>
              </w:rPr>
              <w:t xml:space="preserve"> by construction (reference reaction)</w:t>
            </w:r>
          </w:p>
        </w:tc>
      </w:tr>
    </w:tbl>
    <w:p w14:paraId="6760BAEF" w14:textId="77777777" w:rsidR="00C252DA" w:rsidRPr="00A07B51" w:rsidRDefault="00C252DA" w:rsidP="00C252DA">
      <w:pPr>
        <w:pStyle w:val="MTDisplayEquation"/>
      </w:pPr>
    </w:p>
    <w:sectPr w:rsidR="00C252DA" w:rsidRPr="00A07B51" w:rsidSect="00D86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mmes-Schiffer, Sharon" w:date="2019-01-31T08:34:00Z" w:initials="HS">
    <w:p w14:paraId="081DF09D" w14:textId="788D37E4" w:rsidR="0030027B" w:rsidRDefault="00746168" w:rsidP="0030027B">
      <w:pPr>
        <w:pStyle w:val="CommentText"/>
      </w:pPr>
      <w:r>
        <w:rPr>
          <w:rStyle w:val="CommentReference"/>
        </w:rPr>
        <w:annotationRef/>
      </w:r>
      <w:r>
        <w:t xml:space="preserve">Since this is an oxidation, it may be better to call it a “redox potential” – we’ve had reviewers request this in the past, so now we use redox potential.  </w:t>
      </w:r>
    </w:p>
    <w:p w14:paraId="5CA625F4" w14:textId="77777777" w:rsidR="0030027B" w:rsidRDefault="0030027B" w:rsidP="0030027B">
      <w:pPr>
        <w:pStyle w:val="CommentText"/>
      </w:pPr>
    </w:p>
    <w:p w14:paraId="10ED1E27" w14:textId="6A59FFF6" w:rsidR="0030027B" w:rsidRDefault="0030027B">
      <w:pPr>
        <w:pStyle w:val="CommentText"/>
      </w:pPr>
      <w:r>
        <w:t xml:space="preserve">There is a standard conversion for </w:t>
      </w:r>
      <w:proofErr w:type="spellStart"/>
      <w:r>
        <w:t>pKa</w:t>
      </w:r>
      <w:proofErr w:type="spellEnd"/>
      <w:r>
        <w:t xml:space="preserve"> to Delta </w:t>
      </w:r>
      <w:proofErr w:type="spellStart"/>
      <w:r>
        <w:t>G^o</w:t>
      </w:r>
      <w:proofErr w:type="spellEnd"/>
      <w:r>
        <w:t xml:space="preserve">, and then you can convert to a Delta </w:t>
      </w:r>
      <w:proofErr w:type="spellStart"/>
      <w:r>
        <w:t>E^o</w:t>
      </w:r>
      <w:proofErr w:type="spellEnd"/>
      <w:r>
        <w:t xml:space="preserve"> using the Faraday constant.  Then everything would be in the same units.  </w:t>
      </w:r>
    </w:p>
    <w:p w14:paraId="1EC07ABD" w14:textId="77777777" w:rsidR="0030027B" w:rsidRDefault="0030027B">
      <w:pPr>
        <w:pStyle w:val="CommentText"/>
      </w:pPr>
    </w:p>
    <w:p w14:paraId="5A4E1B89" w14:textId="098C8140" w:rsidR="0030027B" w:rsidRDefault="0030027B">
      <w:pPr>
        <w:pStyle w:val="CommentText"/>
      </w:pPr>
      <w:r>
        <w:t xml:space="preserve">Or maybe just say this in words, something like “In Eq. 1, the Delta </w:t>
      </w:r>
      <w:proofErr w:type="spellStart"/>
      <w:r>
        <w:t>pKa’s</w:t>
      </w:r>
      <w:proofErr w:type="spellEnd"/>
      <w:r>
        <w:t xml:space="preserve"> are assumed to be converted to a Delta E that is in units of Volts</w:t>
      </w:r>
      <w:r w:rsidR="002600A6">
        <w:t xml:space="preserve"> by multiplying by 2.3RT/F</w:t>
      </w:r>
      <w:r>
        <w:t>.”</w:t>
      </w:r>
      <w:r w:rsidR="002600A6">
        <w:t xml:space="preserve">  Maybe put this as a footnote to the tables for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E1B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E1B89" w16cid:durableId="1FFD6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90AC1" w14:textId="77777777" w:rsidR="001F2D81" w:rsidRDefault="001F2D81" w:rsidP="006F63BB">
      <w:r>
        <w:separator/>
      </w:r>
    </w:p>
  </w:endnote>
  <w:endnote w:type="continuationSeparator" w:id="0">
    <w:p w14:paraId="2AC7033A" w14:textId="77777777" w:rsidR="001F2D81" w:rsidRDefault="001F2D81" w:rsidP="006F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7A0E2" w14:textId="77777777" w:rsidR="001F2D81" w:rsidRDefault="001F2D81" w:rsidP="006F63BB">
      <w:r>
        <w:separator/>
      </w:r>
    </w:p>
  </w:footnote>
  <w:footnote w:type="continuationSeparator" w:id="0">
    <w:p w14:paraId="1420ABF7" w14:textId="77777777" w:rsidR="001F2D81" w:rsidRDefault="001F2D81" w:rsidP="006F63BB">
      <w:r>
        <w:continuationSeparator/>
      </w:r>
    </w:p>
  </w:footnote>
  <w:footnote w:id="1">
    <w:p w14:paraId="7154F5D6" w14:textId="5EB652EF" w:rsidR="006F63BB" w:rsidRPr="006F63BB" w:rsidRDefault="006F63BB">
      <w:pPr>
        <w:pStyle w:val="FootnoteText"/>
      </w:pPr>
      <w:r w:rsidRPr="006F63BB">
        <w:rPr>
          <w:rStyle w:val="FootnoteReference"/>
        </w:rPr>
        <w:footnoteRef/>
      </w:r>
      <w:r w:rsidRPr="006F63BB">
        <w:t xml:space="preserve"> </w:t>
      </w:r>
      <w:r w:rsidRPr="006F63BB">
        <w:t xml:space="preserve">In Eq. 1, the Delta </w:t>
      </w:r>
      <w:proofErr w:type="spellStart"/>
      <w:r w:rsidRPr="006F63BB">
        <w:t>pKa’s</w:t>
      </w:r>
      <w:proofErr w:type="spellEnd"/>
      <w:r w:rsidRPr="006F63BB">
        <w:t xml:space="preserve"> are assumed to be converted to </w:t>
      </w:r>
      <w:r>
        <w:t xml:space="preserve">a </w:t>
      </w:r>
      <w:r w:rsidR="001F2D81" w:rsidRPr="006F63BB">
        <w:rPr>
          <w:noProof/>
          <w:position w:val="-4"/>
        </w:rPr>
        <w:object w:dxaOrig="460" w:dyaOrig="320" w14:anchorId="1CC8D9BC">
          <v:shape id="_x0000_i1041" type="#_x0000_t75" alt="" style="width:23.6pt;height:16.15pt;mso-width-percent:0;mso-height-percent:0;mso-width-percent:0;mso-height-percent:0" o:ole="">
            <v:imagedata r:id="rId1" o:title=""/>
          </v:shape>
          <o:OLEObject Type="Embed" ProgID="Equation.DSMT4" ShapeID="_x0000_i1041" DrawAspect="Content" ObjectID="_1610443089" r:id="rId2"/>
        </w:object>
      </w:r>
      <w:r>
        <w:t xml:space="preserve"> </w:t>
      </w:r>
      <w:r w:rsidRPr="006F63BB">
        <w:t>that is in units of Volts by multiplying by 2.3RT/F.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6A22"/>
    <w:multiLevelType w:val="hybridMultilevel"/>
    <w:tmpl w:val="EF449E9C"/>
    <w:lvl w:ilvl="0" w:tplc="85440C16">
      <w:numFmt w:val="bullet"/>
      <w:lvlText w:val=""/>
      <w:lvlJc w:val="left"/>
      <w:pPr>
        <w:ind w:left="720" w:hanging="360"/>
      </w:pPr>
      <w:rPr>
        <w:rFonts w:ascii="Wingdings" w:eastAsiaTheme="minorHAnsi" w:hAnsi="Wingding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mes-Schiffer, Sharon">
    <w15:presenceInfo w15:providerId="AD" w15:userId="S-1-5-21-505881439-82067924-1220176271-590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B51"/>
    <w:rsid w:val="000031C2"/>
    <w:rsid w:val="000252A3"/>
    <w:rsid w:val="0003124D"/>
    <w:rsid w:val="00037DEC"/>
    <w:rsid w:val="00082D58"/>
    <w:rsid w:val="00095903"/>
    <w:rsid w:val="000C06CB"/>
    <w:rsid w:val="000F5F21"/>
    <w:rsid w:val="001174AF"/>
    <w:rsid w:val="00184286"/>
    <w:rsid w:val="001A1576"/>
    <w:rsid w:val="001A5566"/>
    <w:rsid w:val="001C04D6"/>
    <w:rsid w:val="001C6520"/>
    <w:rsid w:val="001F2D81"/>
    <w:rsid w:val="002213D9"/>
    <w:rsid w:val="002253A5"/>
    <w:rsid w:val="00226E7C"/>
    <w:rsid w:val="00230E15"/>
    <w:rsid w:val="002600A6"/>
    <w:rsid w:val="00261B96"/>
    <w:rsid w:val="0028456D"/>
    <w:rsid w:val="002926CA"/>
    <w:rsid w:val="002D0423"/>
    <w:rsid w:val="002D3CE7"/>
    <w:rsid w:val="002E4A81"/>
    <w:rsid w:val="002F08E3"/>
    <w:rsid w:val="0030027B"/>
    <w:rsid w:val="00331693"/>
    <w:rsid w:val="00332083"/>
    <w:rsid w:val="00361973"/>
    <w:rsid w:val="003623DA"/>
    <w:rsid w:val="00363B62"/>
    <w:rsid w:val="003666A7"/>
    <w:rsid w:val="00377366"/>
    <w:rsid w:val="003D0734"/>
    <w:rsid w:val="003F1CF3"/>
    <w:rsid w:val="003F3902"/>
    <w:rsid w:val="00405480"/>
    <w:rsid w:val="00435EB7"/>
    <w:rsid w:val="00457A44"/>
    <w:rsid w:val="00475799"/>
    <w:rsid w:val="0048645E"/>
    <w:rsid w:val="00487CF0"/>
    <w:rsid w:val="004A3521"/>
    <w:rsid w:val="004A3DDA"/>
    <w:rsid w:val="004A403E"/>
    <w:rsid w:val="004F0746"/>
    <w:rsid w:val="00520481"/>
    <w:rsid w:val="00523B8D"/>
    <w:rsid w:val="005259BC"/>
    <w:rsid w:val="0054040C"/>
    <w:rsid w:val="00554007"/>
    <w:rsid w:val="00576037"/>
    <w:rsid w:val="00583544"/>
    <w:rsid w:val="005B3C8E"/>
    <w:rsid w:val="005B71FB"/>
    <w:rsid w:val="005C31FB"/>
    <w:rsid w:val="005D25C5"/>
    <w:rsid w:val="00611FEB"/>
    <w:rsid w:val="00622161"/>
    <w:rsid w:val="00623D25"/>
    <w:rsid w:val="00630070"/>
    <w:rsid w:val="0063641B"/>
    <w:rsid w:val="00653448"/>
    <w:rsid w:val="00655028"/>
    <w:rsid w:val="00657BC1"/>
    <w:rsid w:val="00675BB9"/>
    <w:rsid w:val="00681D05"/>
    <w:rsid w:val="00681EA2"/>
    <w:rsid w:val="00692A26"/>
    <w:rsid w:val="00696E37"/>
    <w:rsid w:val="006B75E8"/>
    <w:rsid w:val="006B7DF6"/>
    <w:rsid w:val="006C5DC5"/>
    <w:rsid w:val="006F63BB"/>
    <w:rsid w:val="00703F88"/>
    <w:rsid w:val="007062C4"/>
    <w:rsid w:val="007077B0"/>
    <w:rsid w:val="00714ED3"/>
    <w:rsid w:val="00716A30"/>
    <w:rsid w:val="00737827"/>
    <w:rsid w:val="00746168"/>
    <w:rsid w:val="00746D1E"/>
    <w:rsid w:val="007542D5"/>
    <w:rsid w:val="0077438C"/>
    <w:rsid w:val="007A362E"/>
    <w:rsid w:val="007C5202"/>
    <w:rsid w:val="007F3F25"/>
    <w:rsid w:val="008230A9"/>
    <w:rsid w:val="008547F5"/>
    <w:rsid w:val="00882BBF"/>
    <w:rsid w:val="008C3509"/>
    <w:rsid w:val="008F2C82"/>
    <w:rsid w:val="008F3AD7"/>
    <w:rsid w:val="00902105"/>
    <w:rsid w:val="009230BC"/>
    <w:rsid w:val="00933E94"/>
    <w:rsid w:val="00934BC8"/>
    <w:rsid w:val="00971A8C"/>
    <w:rsid w:val="00983F04"/>
    <w:rsid w:val="009A4952"/>
    <w:rsid w:val="009E6B62"/>
    <w:rsid w:val="009E6D6F"/>
    <w:rsid w:val="009F0AB4"/>
    <w:rsid w:val="009F7468"/>
    <w:rsid w:val="00A07B51"/>
    <w:rsid w:val="00A34659"/>
    <w:rsid w:val="00A5404B"/>
    <w:rsid w:val="00A614FE"/>
    <w:rsid w:val="00A711A3"/>
    <w:rsid w:val="00A71E87"/>
    <w:rsid w:val="00A92ED6"/>
    <w:rsid w:val="00AB3EAB"/>
    <w:rsid w:val="00AB71C0"/>
    <w:rsid w:val="00AC6E94"/>
    <w:rsid w:val="00AE4139"/>
    <w:rsid w:val="00B15AD0"/>
    <w:rsid w:val="00B1642E"/>
    <w:rsid w:val="00B3260F"/>
    <w:rsid w:val="00B71408"/>
    <w:rsid w:val="00B86BE2"/>
    <w:rsid w:val="00BC3567"/>
    <w:rsid w:val="00BD54F0"/>
    <w:rsid w:val="00BE2223"/>
    <w:rsid w:val="00C252DA"/>
    <w:rsid w:val="00C37067"/>
    <w:rsid w:val="00C37936"/>
    <w:rsid w:val="00C61FB7"/>
    <w:rsid w:val="00C76347"/>
    <w:rsid w:val="00C9296C"/>
    <w:rsid w:val="00C92C7A"/>
    <w:rsid w:val="00C931E3"/>
    <w:rsid w:val="00C96251"/>
    <w:rsid w:val="00CB33F0"/>
    <w:rsid w:val="00D41D1A"/>
    <w:rsid w:val="00D46595"/>
    <w:rsid w:val="00D54ACC"/>
    <w:rsid w:val="00D86D10"/>
    <w:rsid w:val="00D93826"/>
    <w:rsid w:val="00DA03AE"/>
    <w:rsid w:val="00DA1C5B"/>
    <w:rsid w:val="00DC6991"/>
    <w:rsid w:val="00DE154D"/>
    <w:rsid w:val="00DF326E"/>
    <w:rsid w:val="00E75AFA"/>
    <w:rsid w:val="00E802CB"/>
    <w:rsid w:val="00E906B9"/>
    <w:rsid w:val="00EA3F2F"/>
    <w:rsid w:val="00EB5674"/>
    <w:rsid w:val="00EB5AA9"/>
    <w:rsid w:val="00EB68AF"/>
    <w:rsid w:val="00EB7526"/>
    <w:rsid w:val="00F36894"/>
    <w:rsid w:val="00F36F21"/>
    <w:rsid w:val="00F51FA4"/>
    <w:rsid w:val="00F75103"/>
    <w:rsid w:val="00F90708"/>
    <w:rsid w:val="00F9293D"/>
    <w:rsid w:val="00FD2FBD"/>
    <w:rsid w:val="00FF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BF3"/>
  <w14:defaultImageDpi w14:val="32767"/>
  <w15:chartTrackingRefBased/>
  <w15:docId w15:val="{07EF5511-1C1F-384A-801D-F1C49E0C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252DA"/>
    <w:rPr>
      <w:vanish/>
      <w:color w:val="FF0000"/>
    </w:rPr>
  </w:style>
  <w:style w:type="paragraph" w:customStyle="1" w:styleId="MTDisplayEquation">
    <w:name w:val="MTDisplayEquation"/>
    <w:basedOn w:val="Normal"/>
    <w:next w:val="Normal"/>
    <w:link w:val="MTDisplayEquationChar"/>
    <w:rsid w:val="00C252DA"/>
    <w:pPr>
      <w:tabs>
        <w:tab w:val="center" w:pos="4680"/>
        <w:tab w:val="right" w:pos="9360"/>
      </w:tabs>
    </w:pPr>
  </w:style>
  <w:style w:type="character" w:customStyle="1" w:styleId="MTDisplayEquationChar">
    <w:name w:val="MTDisplayEquation Char"/>
    <w:basedOn w:val="DefaultParagraphFont"/>
    <w:link w:val="MTDisplayEquation"/>
    <w:rsid w:val="00C252DA"/>
  </w:style>
  <w:style w:type="table" w:styleId="TableGrid">
    <w:name w:val="Table Grid"/>
    <w:basedOn w:val="TableNormal"/>
    <w:uiPriority w:val="39"/>
    <w:rsid w:val="00230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30E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30E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C5DC5"/>
    <w:pPr>
      <w:ind w:left="720"/>
      <w:contextualSpacing/>
    </w:pPr>
  </w:style>
  <w:style w:type="paragraph" w:styleId="Caption">
    <w:name w:val="caption"/>
    <w:basedOn w:val="Normal"/>
    <w:next w:val="Normal"/>
    <w:uiPriority w:val="35"/>
    <w:unhideWhenUsed/>
    <w:qFormat/>
    <w:rsid w:val="00C931E3"/>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46168"/>
    <w:rPr>
      <w:sz w:val="16"/>
      <w:szCs w:val="16"/>
    </w:rPr>
  </w:style>
  <w:style w:type="paragraph" w:styleId="CommentText">
    <w:name w:val="annotation text"/>
    <w:basedOn w:val="Normal"/>
    <w:link w:val="CommentTextChar"/>
    <w:uiPriority w:val="99"/>
    <w:unhideWhenUsed/>
    <w:rsid w:val="00746168"/>
    <w:rPr>
      <w:sz w:val="20"/>
      <w:szCs w:val="20"/>
    </w:rPr>
  </w:style>
  <w:style w:type="character" w:customStyle="1" w:styleId="CommentTextChar">
    <w:name w:val="Comment Text Char"/>
    <w:basedOn w:val="DefaultParagraphFont"/>
    <w:link w:val="CommentText"/>
    <w:uiPriority w:val="99"/>
    <w:rsid w:val="00746168"/>
    <w:rPr>
      <w:sz w:val="20"/>
      <w:szCs w:val="20"/>
    </w:rPr>
  </w:style>
  <w:style w:type="paragraph" w:styleId="CommentSubject">
    <w:name w:val="annotation subject"/>
    <w:basedOn w:val="CommentText"/>
    <w:next w:val="CommentText"/>
    <w:link w:val="CommentSubjectChar"/>
    <w:uiPriority w:val="99"/>
    <w:semiHidden/>
    <w:unhideWhenUsed/>
    <w:rsid w:val="00746168"/>
    <w:rPr>
      <w:b/>
      <w:bCs/>
    </w:rPr>
  </w:style>
  <w:style w:type="character" w:customStyle="1" w:styleId="CommentSubjectChar">
    <w:name w:val="Comment Subject Char"/>
    <w:basedOn w:val="CommentTextChar"/>
    <w:link w:val="CommentSubject"/>
    <w:uiPriority w:val="99"/>
    <w:semiHidden/>
    <w:rsid w:val="00746168"/>
    <w:rPr>
      <w:b/>
      <w:bCs/>
      <w:sz w:val="20"/>
      <w:szCs w:val="20"/>
    </w:rPr>
  </w:style>
  <w:style w:type="paragraph" w:styleId="BalloonText">
    <w:name w:val="Balloon Text"/>
    <w:basedOn w:val="Normal"/>
    <w:link w:val="BalloonTextChar"/>
    <w:uiPriority w:val="99"/>
    <w:semiHidden/>
    <w:unhideWhenUsed/>
    <w:rsid w:val="007461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168"/>
    <w:rPr>
      <w:rFonts w:ascii="Segoe UI" w:hAnsi="Segoe UI" w:cs="Segoe UI"/>
      <w:sz w:val="18"/>
      <w:szCs w:val="18"/>
    </w:rPr>
  </w:style>
  <w:style w:type="paragraph" w:styleId="FootnoteText">
    <w:name w:val="footnote text"/>
    <w:basedOn w:val="Normal"/>
    <w:link w:val="FootnoteTextChar"/>
    <w:uiPriority w:val="99"/>
    <w:semiHidden/>
    <w:unhideWhenUsed/>
    <w:rsid w:val="006F63BB"/>
    <w:rPr>
      <w:sz w:val="20"/>
      <w:szCs w:val="20"/>
    </w:rPr>
  </w:style>
  <w:style w:type="character" w:customStyle="1" w:styleId="FootnoteTextChar">
    <w:name w:val="Footnote Text Char"/>
    <w:basedOn w:val="DefaultParagraphFont"/>
    <w:link w:val="FootnoteText"/>
    <w:uiPriority w:val="99"/>
    <w:semiHidden/>
    <w:rsid w:val="006F63BB"/>
    <w:rPr>
      <w:sz w:val="20"/>
      <w:szCs w:val="20"/>
    </w:rPr>
  </w:style>
  <w:style w:type="character" w:styleId="FootnoteReference">
    <w:name w:val="footnote reference"/>
    <w:basedOn w:val="DefaultParagraphFont"/>
    <w:uiPriority w:val="99"/>
    <w:semiHidden/>
    <w:unhideWhenUsed/>
    <w:rsid w:val="006F63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10" Type="http://schemas.microsoft.com/office/2011/relationships/commentsExtended" Target="commentsExtended.xml"/><Relationship Id="rId19" Type="http://schemas.openxmlformats.org/officeDocument/2006/relationships/oleObject" Target="embeddings/oleObject4.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6.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5D145-966F-2A48-A2B9-0AD26228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Goings</dc:creator>
  <cp:keywords/>
  <dc:description/>
  <cp:lastModifiedBy>Joshua Goings</cp:lastModifiedBy>
  <cp:revision>10</cp:revision>
  <dcterms:created xsi:type="dcterms:W3CDTF">2019-01-31T13:55:00Z</dcterms:created>
  <dcterms:modified xsi:type="dcterms:W3CDTF">2019-01-31T17:31:00Z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MacEqns">
    <vt:bool>true</vt:bool>
  </property>
</Properties>
</file>