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DAA5" w14:textId="01D1B60A" w:rsidR="00B83CE8" w:rsidRDefault="00B83CE8"/>
    <w:p w14:paraId="391A1C20" w14:textId="222040C1" w:rsidR="00444AA8" w:rsidRDefault="00444AA8">
      <w:r>
        <w:t>27 Octubre 2026</w:t>
      </w:r>
      <w:r w:rsidR="00082A87">
        <w:t xml:space="preserve">  CSA</w:t>
      </w:r>
    </w:p>
    <w:p w14:paraId="0B3521D1" w14:textId="65414977" w:rsidR="00444AA8" w:rsidRDefault="00444AA8">
      <w:r>
        <w:rPr>
          <w:noProof/>
        </w:rPr>
        <w:drawing>
          <wp:inline distT="0" distB="0" distL="0" distR="0" wp14:anchorId="14AC4989" wp14:editId="0E487E28">
            <wp:extent cx="5400040" cy="3499485"/>
            <wp:effectExtent l="0" t="0" r="0" b="5715"/>
            <wp:docPr id="1201499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9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FDD4" w14:textId="0C58D0B6" w:rsidR="00FB6012" w:rsidRDefault="00FB6012">
      <w:r>
        <w:t>Para reducir la contribución de ruido flicker debida a M4 he aumentado su L, ajustado un poco su W y subido Vncasc. Con eso se reduce un factor 4 el ruido flicker sin afectar demasiado a la ganancia. En la versión anterior teníamos Lncasc=0.36 u, Wncasc=0.72u y Vncasc=0.62, en esta versión tenemos Lncasc=2.4u, Wncasc=0.54u, Vncasc=0.64. Las gráficas de transitorio y densidad espectral de ruido manifiestan las mejoras:</w:t>
      </w:r>
    </w:p>
    <w:p w14:paraId="2CEDC7F2" w14:textId="2028E18C" w:rsidR="009A16EA" w:rsidRDefault="009A16EA">
      <w:r>
        <w:t>El ruido flicker escala con la inversa del área de puerta, WL:</w:t>
      </w:r>
    </w:p>
    <w:p w14:paraId="4E9E0570" w14:textId="7824F772" w:rsidR="009A16EA" w:rsidRDefault="009A16EA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WL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ox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5A0FE7B8" w14:textId="1C3B95B7" w:rsidR="00FB6012" w:rsidRDefault="00FB6012">
      <w:r>
        <w:rPr>
          <w:noProof/>
        </w:rPr>
        <w:lastRenderedPageBreak/>
        <w:drawing>
          <wp:inline distT="0" distB="0" distL="0" distR="0" wp14:anchorId="34EB5A35" wp14:editId="3F99B32B">
            <wp:extent cx="5400040" cy="6647180"/>
            <wp:effectExtent l="0" t="0" r="0" b="1270"/>
            <wp:docPr id="1974331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31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AF02" w14:textId="2FEE6F1B" w:rsidR="00FB6012" w:rsidRDefault="00FB6012">
      <w:r>
        <w:t>Sin que la señal amplificada muestre grandes cambios:</w:t>
      </w:r>
    </w:p>
    <w:p w14:paraId="6E3B20CB" w14:textId="0E99CB7F" w:rsidR="00FB6012" w:rsidRDefault="00FB6012">
      <w:r>
        <w:rPr>
          <w:noProof/>
        </w:rPr>
        <w:lastRenderedPageBreak/>
        <w:drawing>
          <wp:inline distT="0" distB="0" distL="0" distR="0" wp14:anchorId="3D208FD1" wp14:editId="3083249E">
            <wp:extent cx="5400040" cy="6647180"/>
            <wp:effectExtent l="0" t="0" r="0" b="1270"/>
            <wp:docPr id="2061208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08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F8F2" w14:textId="216EBF24" w:rsidR="00FB6012" w:rsidRDefault="00FB6012"/>
    <w:sectPr w:rsidR="00FB6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DE"/>
    <w:rsid w:val="00082A87"/>
    <w:rsid w:val="00444AA8"/>
    <w:rsid w:val="007F07DE"/>
    <w:rsid w:val="009A16EA"/>
    <w:rsid w:val="00B23488"/>
    <w:rsid w:val="00B83CE8"/>
    <w:rsid w:val="00D1484F"/>
    <w:rsid w:val="00FB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569C2"/>
  <w15:chartTrackingRefBased/>
  <w15:docId w15:val="{44C303B5-9ADA-4851-8BBF-402A57C5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0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7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7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7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7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7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7D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7D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7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7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7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7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0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0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7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07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7D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7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7D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07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93</Words>
  <Characters>512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ROGELIO PALOMO PINTO</dc:creator>
  <cp:keywords/>
  <dc:description/>
  <cp:lastModifiedBy>FRANCISCO ROGELIO PALOMO PINTO</cp:lastModifiedBy>
  <cp:revision>6</cp:revision>
  <dcterms:created xsi:type="dcterms:W3CDTF">2026-10-27T08:50:00Z</dcterms:created>
  <dcterms:modified xsi:type="dcterms:W3CDTF">2026-10-27T09:05:00Z</dcterms:modified>
</cp:coreProperties>
</file>