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:rsidR="00BE164D" w:rsidRDefault="004D4181"><w:pPr><w:ind w:firstLine="0"/><w:jc w:val="center"/><w:rPr><w:b/><w:bCs/></w:rPr></w:pPr><w:r><w:rPr><w:noProof/></w:rPr><w:drawing><wp:inline distT="0" distB="0" distL="0" distR="0"><wp:extent cx="5400000" cy="3600000"/><wp:effectExtent l="0" t="0" r="0" b="0"/><wp:docPr id="101" name="P1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.png"/><pic:cNvPicPr><a:picLocks noChangeAspect="1"/></pic:cNvPicPr></pic:nvPicPr><pic:blipFill><a:blip r:embed="rId11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1. Функциональная схема мобильного приложения</w:t></w:r></w:p><w:p w:rsidR="00BE164D" w:rsidRDefault="004D4181"><w:r><w:t>Связи между слоями организованы по принципу однонаправленной зависимости: презентация знает о бизнес-логике, бизнес-логика — о доступе к данным, доступ к данным — о сетевом слое. Обратные связи реализуются через реактивные потоки данных (Kotlin Flow / Stat</w:t></w:r><w:r><w:t>eFlow), что соответствует современным рекомендациям Google по построению Android-приложений.</w:t></w:r></w:p><w:p w:rsidR="00BE164D" w:rsidRDefault="004D4181"><w:r><w:t>Функциональная декомпозиция программной системы выполнена по методологии IDEF0. Контекстная диаграмма (рисунок 2) представляет систему как единый процесс A0 «Прохо</w:t></w:r><w:r><w:t>ждение онлайн курса в мобильном приложении». В качестве входов указаны учётные данные пользователя; управляющими воздействиями являются структура каталога курсов, учебный контент и тесты, шаблон сертификата. В качестве механизмов задействованы Android-устр</w:t></w:r><w:r><w:t>ойство пользователя, REST API сервер и реляционная СУБД. Выходами процесса являются прогресс прохождения курса, результаты тестов и сертификат в формате PDF.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2" name="P2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2.png"/><pic:cNvPicPr><a:picLocks noChangeAspect="1"/></pic:cNvPicPr></pic:nvPicPr><pic:blipFill><a:blip r:embed="rId12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2. Контекстная IDEF0-диаграмма процесса прохождения онлайн курса</w:t></w:r></w:p><w:p w:rsidR="00BE164D" w:rsidRDefault="004D4181"><w:r><w:t>На первом уровне декомпозиции IDEF0 (рисунок 3) основной процесс A0 разделён на пять подпроцессов: A1 «Регистрация и авторизация», A2 «Просмотр каталога», A3 «Прохождение уроков», A4 «Вы</w:t></w:r><w:r><w:t>полнение тестов» и A5 «Выдача сертификата». Подпроцессы выполняются последовательно в рамках типового пользовательского сценария: учащийся проходит аутентификацию, просматривает каталог, проходит уроки и тесты курса, после успешного завершения получает сер</w:t></w:r><w:r><w:t>тификат. Циклическая связь A3 ↔ A4 (показана пунктиром) отражает чередование изучения материала и проверочных тестов внутри одного урока.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3" name="P3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3.png"/><pic:cNvPicPr><a:picLocks noChangeAspect="1"/></pic:cNvPicPr></pic:nvPicPr><pic:blipFill><a:blip r:embed="rId13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3. Декомпозиция первого уровня IDEF0</w:t></w:r></w:p><w:p w:rsidR="00BE164D" w:rsidRDefault="004D4181"><w:r><w:t>На втором уровне декомпозиции выполнена детализация пользовательского процесса A3 «Прохождение уроков» как наиболее сложного с точки зрения внутренней логики (рисунок 4). Декомпозиция включает шесть подпроцессов: A3.1 «Запись на курс», A3.2 «Загрузка конте</w:t></w:r><w:r><w:t>нта урока», A3.3 «Просмотр материала», A3.4 «Отметка урока как пройденного», A3.5 «Сохранение прогресса» и A3.6 «Переход к следующему уроку». Связь A3.5 → A3.2 (пунктир) реализует возврат пользователя к прохождению следующего урока без выхода из курса.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4" name="P4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4.png"/><pic:cNvPicPr><a:picLocks noChangeAspect="1"/></pic:cNvPicPr></pic:nvPicPr><pic:blipFill><a:blip r:embed="rId14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4. Декомпозиция второго уровня IDEF0 для процесса A3</w:t></w:r></w:p><w:p w:rsidR="00BE164D" w:rsidRDefault="004D4181"><w:r><w:t>Поточно-структурное представление системы выполнено в виде DFD-диаграммы первого уровня в нотации Гейна-Сарсона (рисунок 5). На диаграмме показаны две внешние сущности (учащийся и преподаватель, выс</w:t></w:r><w:r><w:t>тупающий в роли администратора каталога), шесть процессов системы и четыре хранилища данных. Процессы пронумерованы от 1 до 6 и соответствуют функциональным подсистемам приложения: 1 — аутентификация, 2 — каталог курсов, 3 — прохождение урока, 4 — тестиров</w:t></w:r><w:r><w:t>ание, 5 — учёт прогресса, 6 — выдача сертификата. Хранилища данных D1 — D4 соответствуют четырём логическим группам таблиц БД: учётные записи пользователей, каталог курсов и связанные сущности, прогресс прохождения, выданные сертификаты.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5" name="P5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5.png"/><pic:cNvPicPr><a:picLocks noChangeAspect="1"/></pic:cNvPicPr></pic:nvPicPr><pic:blipFill><a:blip r:embed="rId15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5. DFD-диаграмма первого уровня</w:t></w:r></w:p><w:p w:rsidR="00BE164D" w:rsidRDefault="004D4181"><w:r><w:t>Логическая структура серверной базы данных представлена ER-диаграммой на рисунке 6. Схема включает десять сущностей, отражающих основные информационные объекты предметной области: «Пользователи» (users), «Категории» (categories), «Курсы» (courses), «Модули</w:t></w:r><w:r><w:t>» (modules), «Уроки» (lessons), «Тестовые вопросы» (quiz_questions), «Записи на курс» (enrollments), «Прогресс по урокам» (lesson_progress), «Сертификаты» (certificates) и «Refresh-токены» (refresh_tokens). Между сущностями установлены связи «один ко многи</w:t></w:r><w:r><w:t>м»: курс содержит несколько модулей, модуль — несколько уроков, урок — несколько тестовых вопросов; пользователь имеет несколько записей на курсы, отметок о прохождении уроков, выданных сертификатов и активных refresh-токенов. Связь «многие ко многим» межд</w:t></w:r><w:r><w:t>у пользователями и курсами реализована через ассоциативные сущности enrollments, lesson_progress и certificates.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6" name="P6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6.png"/><pic:cNvPicPr><a:picLocks noChangeAspect="1"/></pic:cNvPicPr></pic:nvPicPr><pic:blipFill><a:blip r:embed="rId16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6. Логическая модель базы данных (ER-диаграмма)</w:t></w:r></w:p><w:p w:rsidR="00BE164D" w:rsidRDefault="004D4181"><w:r><w:t>Статическая структура мобильного клиента</w:t></w:r><w:r><w:t xml:space="preserve"> описывается диаграммой классов UML (рисунок 7). На диаграмме выделены четыре слоя: композиции экранов (LoginScreen, CatalogScreen, CourseDetailsScreen, LessonScreen и др.), ViewModel-классы (LoginViewModel, CatalogViewModel и т. д.), репозитории (AuthRepo</w:t></w:r><w:r><w:t>sitory, CatalogRepository, LearningRepository, CertificateRepository) и низкоуровневые сетевые компоненты (AuthApi, EduFlowApi, TokenStore). Между слоями установлены отношения зависимости: каждый ViewModel зависит от соответствующего репозитория, каждый ре</w:t></w:r><w:r><w:t>позиторий — от Retrofit-интерфейса (AuthApi или EduFlowApi). TokenStore используется одновременно репозиторием AuthRepository и компонентом AuthInterceptor сетевого слоя для подписания исходящих запросов JWT-токеном.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7" name="P7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7.png"/><pic:cNvPicPr><a:picLocks noChangeAspect="1"/></pic:cNvPicPr></pic:nvPicPr><pic:blipFill><a:blip r:embed="rId17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7. Диаграмма классов мобильного клиента</w:t></w:r></w:p><w:p w:rsidR="00BE164D" w:rsidRDefault="004D4181"><w:r><w:t>Взаимодействие пользователя с системой описано диаграммой вариантов ис</w:t></w:r><w:r><w:t>пользования UML (рисунок 8). На диаграмме представлены три актёра: учащийся (основной пользователь мобильного приложения), преподаватель (работает с административной панелью на стороне сервера) и REST API сервера (как внешняя система, с которой взаимодейст</w:t></w:r><w:r><w:t>вует мобильный клиент). Для учащегося выделены пятнадцать вариантов использования, охватывающих полный цикл работы с приложением: регистрация, авторизация, просмотр и фильтрация каталога, открытие курса, запись на курс, открытие урока с просмотром видео, п</w:t></w:r><w:r><w:t>рохождение теста, отметка урока как пройденного, просмотр раздела «Мои курсы» и профиля, получение и загрузка сертификата, выход из аккаунта. Для преподавателя выделены два варианта использования, относящиеся к управлению каталогом курсов и учётными запися</w:t></w:r><w:r><w:t>ми (выполняются через административную панель на стороне сервера и в объём мобильного клиента не входят).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8" name="P8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8.png"/><pic:cNvPicPr><a:picLocks noChangeAspect="1"/></pic:cNvPicPr></pic:nvPicPr><pic:blipFill><a:blip r:embed="rId18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8. Диаграмма вариантов использования</w:t></w:r></w:p><w:p w:rsidR="00BE164D" w:rsidRDefault="004D4181"><w:r><w:t>Архитектура развёртывания программной системы (рисунок 9) описывает физическое размещение компонентов решения. На диаграмме пред</w:t></w:r><w:r><w:t>ставлены три узла: Android-смартфон пользователя (содержит APK мобильного приложения, EncryptedSharedPreferences для токенов и DataStore для пользовательских настроек), сервер приложений на Linux (содержит Spring Boot JAR, Nginx в качестве обратного прокси</w:t></w:r><w:r><w:t xml:space="preserve"> и хранилище учебных видеоматериалов) и сервер базы данных на Linux (содержит PostgreSQL для постоянного хранения данных и Redis для refresh-токенов и кэширования частых запросов). Связи между узлами: клиент-серверное взаимодействие по HTTPS через REST API</w:t></w:r><w:r><w:t>, сервер-БД — по протоколам JDBC (PostgreSQL) и TCP-протоколу Redis.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09" name="P9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9.png"/><pic:cNvPicPr><a:picLocks noChangeAspect="1"/></pic:cNvPicPr></pic:nvPicPr><pic:blipFill><a:blip r:embed="rId19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9. Архитектура развёртывания программной системы</w:t></w:r></w:p><w:p w:rsidR="00BE164D" w:rsidRDefault="004D4181"><w:r><w:t>Последовательность взаимодействия компонентов системы при выполнении ключевого пользовательского сценария авторизации с автоматическим обновлением токена иллюстрирует диаграмма последовательности на рисунке 10. На диаграмме показано, что учащийся вводит ло</w:t></w:r><w:r><w:t>гин и пароль на экране LoginScreen, который вызывает метод submit() у LoginViewModel; ViewModel обращается к AuthRepository, который через Retrofit-интерфейс AuthApi отправляет POST-запрос на сервер. После получения ответа с парой токенов AuthRepository со</w:t></w:r><w:r><w:t>храняет токены в TokenStore и возвращает результат в ViewModel; ViewModel переключает экран на каталог курсов. При последующем обращении к защищённому ресурсу (например, GET /courses) сервер возвращает HTTP 401, после чего сетевой слой автоматически обраща</w:t></w:r><w:r><w:t>ется к /auth/refresh, получает новый access-токен и повторяет исходный запрос — пользователь не замечает истечения сессии.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5400000" cy="3600000"/><wp:effectExtent l="0" t="0" r="0" b="0"/><wp:docPr id="110" name="P10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0.png"/><pic:cNvPicPr><a:picLocks noChangeAspect="1"/></pic:cNvPicPr></pic:nvPicPr><pic:blipFill><a:blip r:embed="rId20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10. Диаграмма последовательности: авторизация и обновление токена</w:t></w:r></w:p><w:p w:rsidR="00BE164D" w:rsidRDefault="004D4181"><w:pPr><w:pStyle w:val="2"/></w:pPr><w:r><w:t>Выводы по главе 2</w:t></w:r></w:p><w:p w:rsidR="00BE164D" w:rsidRDefault="004D4181"><w:r><w:t>Во второй главе сформированы функциональные и нефункциональные требования к разрабатываемому мобильному приложению. Сформулировано девятнадцать функциональных требован</w:t></w:r><w:r><w:t>ий, сгруппированных по пяти подсистемам (аутентификация, каталог, уроки, мои курсы, профиль), и десять нефункциональных требований по пяти категориям (производительность, совместимость, безопасность, удобство, надёжность и сопровождаемость).</w:t></w:r></w:p><w:p w:rsidR="00BE164D" w:rsidRDefault="004D4181"><w:r><w:t>На основе сравнительного анализа архитектурных подходов обоснован выбор клиент-серверной архитектуры с модульной организацией серверной части. Подобран технологический стек, включающий Kotlin и Jetpack Compose для Android-клиента, Hilt для внедрения зависи</w:t></w:r><w:r><w:t>мостей, Retrofit и OkHttp для сетевого взаимодействия, EncryptedSharedPreferences и DataStore для локального хранения, Spring Boot и PostgreSQL для серверной части, а также JWT для аутентификации.</w:t></w:r></w:p><w:p w:rsidR="00BE164D" w:rsidRDefault="004D4181"><w:r><w:t>Выполнено проектирование структуры программной системы. Сов</w:t></w:r><w:r><w:t>окупность построенных диаграмм (функциональная схема, контекстная IDEF0-диаграмма и две декомпозиции, DFD-диаграмма, ER-диаграмма базы данных, диаграмма классов, диаграмма вариантов использования, архитектура развёртывания, диаграмма последовательности) по</w:t></w:r><w:r><w:t>зволяет описать систему на разных уровнях детализации. Полученные модели служат основанием для практической реализации программной системы, рассматриваемой в третьей главе.</w:t></w:r></w:p><w:p w:rsidR="00BE164D" w:rsidRDefault="004D4181"><w:pPr><w:pStyle w:val="1"/><w:spacing w:after="0"/></w:pPr><w:r><w:t>ГЛАВА 3. РЕАЛИЗАЦИЯ И ТЕСТИРОВАНИЕ ПРОГРАММНОЙ СИСТЕМЫ</w:t></w:r></w:p><w:p w:rsidR="00BE164D" w:rsidRDefault="004D4181"><w:pPr><w:pStyle w:val="2"/></w:pPr><w:r><w:t>3.1 Описание структуры проек</w:t></w:r><w:r><w:t>та</w:t></w:r></w:p><w:p w:rsidR="00BE164D" w:rsidRDefault="004D4181"><w:r><w:t>Программная система реализована в виде клиент-серверного решения, состоящего из мобильного клиента под Android и REST-сервиса серверной части. Мобильный клиент построен как нативное Android-приложение на языке программирования Kotlin с использованием де</w:t></w:r><w:r><w:t>кларативного UI-фреймворка Jetpack Compose; целевая платформа — Android, минимальная поддерживаемая версия — Android 8.0 (API 26), целевая — Android 14 (API 34); сборка выполняется средствами Android Gradle Plugin в среде Android Studio Hedgehog. Серверная</w:t></w:r><w:r><w:t xml:space="preserve"> часть реализована на Java и фреймворке Spring Boot 3, использует PostgreSQL 16 в качестве основной СУБД и Redis 7 для хранения refresh-токенов и кэширования. Сервер предоставляет REST-интерфейс обмена данными в формате JSON. Взаимодействие между клиентом </w:t></w:r><w:r><w:t>и сервером выполняется по протоколу HTTPS с применением JSON Web Token для подтверждения идентификации пользователя.</w:t></w:r></w:p><w:p w:rsidR="00BE164D" w:rsidRDefault="004D4181"><w:r><w:t>Мобильный клиент организован по принципу feature-ориентированной модульности. Корневой пакет приложения — com.eduflow.mobile. Внутри него в</w:t></w:r><w:r><w:t>ыделены два больших пакета: core (общие компоненты, не привязанные к конкретному экрану) и feature (отдельные функциональные разделы приложения). Состав пакетов проекта приведён в таблице 6. Указанные пакеты соответствуют слоям архитектуры, описанным в под</w:t></w:r><w:r><w:t>разделе 2.2 настоящей работы (UI / ViewModel / Repository / Data / Network). Каждый feature-пакет содержит в подкаталоге presentation композиции экранов, ViewModel-классы и связанные с ними состояния UI.</w:t></w:r></w:p><w:p w:rsidR="00BE164D" w:rsidRDefault="004D4181"><w:pPr><w:keepNext/><w:spacing w:before="120"/><w:ind w:firstLine="0"/><w:jc w:val="right"/></w:pPr><w:r><w:t>Таблица 6</w:t></w:r></w:p><w:p w:rsidR="00BE164D" w:rsidRDefault="004D4181"><w:pPr><w:keepNext/><w:spacing w:after="60"/><w:ind w:firstLine="0"/><w:jc w:val="center"/></w:pPr><w:r><w:t>Состав основных пакетов мобильного клиента</w:t></w:r></w:p><w:tbl><w:tblPr><w:tblW w:w="9638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A0" w:firstRow="1" w:lastRow="0" w:firstColumn="1" w:lastColumn="0" w:noHBand="0" w:noVBand="1"/></w:tblPr><w:tblGrid><w:gridCol w:w="2700"/><w:gridCol w:w="3000"/><w:gridCol w:w="3938"/></w:tblGrid><w:tr w:rsidR="00BE164D"><w:trPr><w:cantSplit/><w:tblHeader/><w:jc w:val="center"/></w:trPr><w:tc><w:tcPr><w:tcW w:w="2700" w:type="dxa"/><w:vAlign w:val="center"/></w:tcPr><w:p w:rsidR="00BE164D" w:rsidRDefault="004D4181"><w:pPr><w:spacing w:line="240" w:lineRule="auto"/><w:ind w:firstLine="0"/><w:jc w:val="center"/><w:rPr><w:b/><w:bCs/><w:sz w:val="24"/><w:szCs w:val="24"/></w:rPr></w:pPr><w:r><w:rPr><w:noProof/></w:rPr><w:drawing><wp:inline distT="0" distB="0" distL="0" distR="0"><wp:extent cx="2520000" cy="4200000"/><wp:effectExtent l="0" t="0" r="0" b="0"/><wp:docPr id="111" name="P11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1.png"/><pic:cNvPicPr><a:picLocks noChangeAspect="1"/></pic:cNvPicPr></pic:nvPicPr><pic:blipFill><a:blip r:embed="rId21"/><a:stretch><a:fillRect/></a:stretch></pic:blipFill><pic:spPr><a:xfrm><a:off x="0" y="0"/><a:ext cx="2520000" cy="42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11. Экран авторизации мобильного приложения</w:t></w:r></w:p><w:p w:rsidR="00BE164D" w:rsidRDefault="004D4181"><w:r><w:t>Экран каталога курсов (рисунок 12) — главный экран приложения после входа. В верхней части расположена верхняя панель с логотипом приложения и кнопкой поиска. Под ней — строка поиска с иконкой и текстовым полем для ввода ключевого слова. Ниже расположен го</w:t></w:r><w:r><w:t>ризонтальный список chip-фильтров категорий «Все», «IT», «Дизайн», «Бизнес», «Языки» — выбранная категория выделяется акцентным цветом. Основная часть экрана — вертикальный список карточек курсов: каждая карточка содержит обложку курса слева и текстовый бл</w:t></w:r><w:r><w:t>ок справа (название курса, имя автора, длительность и уровень сложности). При нажатии на карточку выполняется переход к экрану карточки курса.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2520000" cy="4200000"/><wp:effectExtent l="0" t="0" r="0" b="0"/><wp:docPr id="112" name="P12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2.png"/><pic:cNvPicPr><a:picLocks noChangeAspect="1"/></pic:cNvPicPr></pic:nvPicPr><pic:blipFill><a:blip r:embed="rId22"/><a:stretch><a:fillRect/></a:stretch></pic:blipFill><pic:spPr><a:xfrm><a:off x="0" y="0"/><a:ext cx="2520000" cy="42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12. Экран каталога курсов с активным фильтром «IT»</w:t></w:r></w:p><w:p w:rsidR="00BE164D" w:rsidRDefault="004D4181"><w:r><w:t>Экран карточки курса (рисунок 13) отображает подробное описание выбранного курса. В верхней части — кнопка возврата к каталогу и обложка курса крупным размером. Под обложкой — название курса, имя авто</w:t></w:r><w:r><w:t>ра, длительность и уровень сложности. Ниже расположена кнопка «Записаться» (для не записанного пользователя) или «Перейти к обучению» (для уже записанного). В нижней части экрана — структура курса: список модулей и входящих в них уроков, оформленный с иера</w:t></w:r><w:r><w:t>рхическими отступами. При записи пользователя на курс отображается уведомление об успешной записи и разблокируется доступ к урокам курса.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2520000" cy="4200000"/><wp:effectExtent l="0" t="0" r="0" b="0"/><wp:docPr id="113" name="P13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3.png"/><pic:cNvPicPr><a:picLocks noChangeAspect="1"/></pic:cNvPicPr></pic:nvPicPr><pic:blipFill><a:blip r:embed="rId23"/><a:stretch><a:fillRect/></a:stretch></pic:blipFill><pic:spPr><a:xfrm><a:off x="0" y="0"/><a:ext cx="2520000" cy="42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13. Экран карточки курса с программой обучения</w:t></w:r></w:p><w:p w:rsidR="00BE164D" w:rsidRDefault="004D4181"><w:r><w:t>Экран урока (рисунок 14) — ключевой экран процесса обучения. В верхней части расположена кнопка возврата и название урока. Ниже — встроенный видеоплеер с полноэкранным режимом, кнопками воспроизведения, п</w:t></w:r><w:r><w:t>аузы, перемотки и регулировкой громкости. Под видеоплеером — текстовое содержание урока в формате Markdown (заголовки, абзацы, списки, выделения). В нижней части — блок проверочного теста: формулировка вопроса и список вариантов ответов с радио-кнопками. З</w:t></w:r><w:r><w:t>авершает экран кнопка «Отметить пройденным», которая активируется только после ответа на все вопросы теста. После успешного прохождения урок помечается зелёным маркером в списке программы курса.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2520000" cy="4200000"/><wp:effectExtent l="0" t="0" r="0" b="0"/><wp:docPr id="114" name="P14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4.png"/><pic:cNvPicPr><a:picLocks noChangeAspect="1"/></pic:cNvPicPr></pic:nvPicPr><pic:blipFill><a:blip r:embed="rId24"/><a:stretch><a:fillRect/></a:stretch></pic:blipFill><pic:spPr><a:xfrm><a:off x="0" y="0"/><a:ext cx="2520000" cy="42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14. Экран урока с видеоплеером и проверочным тестом</w:t></w:r></w:p><w:p w:rsidR="00BE164D" w:rsidRDefault="004D4181"><w:r><w:t>Экран профиля и сертификатов (рисунок 15) предоставляет пользователю доступ к личным данным, перечню выданных сертификатов и возможности выйти из аккаунта. В верхней части экрана отображается аватар пользователя и его ФИО; под ними — email и роль в системе</w:t></w:r><w:r><w:t xml:space="preserve"> (по умолчанию «Студент»). Ниже расположен раздел «Мои сертификаты» с карточками выданных сертификатов: каждая карточка содержит иконку документа, название курса, дату выдачи и кнопку «Открыть PDF», которая запускает загрузку PDF-сертификата с сервера и от</w:t></w:r><w:r><w:t>крытие его в системном просмотрщике. В нижней части экрана — кнопка «Выйти из аккаунта» в красном цвете, очищающая локальные токены и возвращающая пользователя на экран авторизации.</w:t></w:r></w:p><w:p w:rsidR="00BE164D" w:rsidRDefault="004D4181"><w:pPr><w:spacing w:before="120" w:line="240" w:lineRule="auto"/><w:ind w:firstLine="0"/><w:jc w:val="center"/></w:pPr><w:r><w:rPr><w:noProof/></w:rPr><w:drawing><wp:inline distT="0" distB="0" distL="0" distR="0"><wp:extent cx="2520000" cy="4200000"/><wp:effectExtent l="0" t="0" r="0" b="0"/><wp:docPr id="115" name="P15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5.png"/><pic:cNvPicPr><a:picLocks noChangeAspect="1"/></pic:cNvPicPr></pic:nvPicPr><pic:blipFill><a:blip r:embed="rId25"/><a:stretch><a:fillRect/></a:stretch></pic:blipFill><pic:spPr><a:xfrm><a:off x="0" y="0"/><a:ext cx="2520000" cy="42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15. Экран профиля с перечнем выданных сертификатов</w:t></w:r></w:p><w:p w:rsidR="00BE164D" w:rsidRDefault="004D4181"><w:r><w:t>Все экраны приложения адаптированы под различные размеры мобильных устройств за счёт использования Compose-модификаторов fillMaxWidth, fillMaxHeight и weight. На устройствах с большим экраном (планшет</w:t></w:r><w:r><w:t>ах) карточки курсов в каталоге автоматически располагаются в две колонки. Тёмная тема поддерживается из коробки за счёт использования MaterialTheme и автоматического переключения на darkColorScheme при включении тёмной темы в системе.</w:t></w:r></w:p><w:p w:rsidR="00BE164D" w:rsidRDefault="004D4181"><w:pPr><w:pStyle w:val="2"/></w:pPr><w:r><w:t>3.4 Тест-план и резул</w:t></w:r><w:r><w:t>ьтаты тестирования</w:t></w:r></w:p><w:p w:rsidR="00BE164D" w:rsidRDefault="004D4181"><w:r><w:t>В соответствии с методическими указаниями 2026 года до проведения функционального тестирования был разработан тест-план, фиксирующий цели, объект, виды тестирования, среду, критерии приёмки и расписание работ.</w:t></w:r></w:p><w:p w:rsidR="00BE164D" w:rsidRDefault="004D4181"><w:r><w:t>Цели тестирования: подтверд</w:t></w:r><w:r><w:t>ить соответствие реализованного приложения функциональным требованиям подраздела 2.1 и нефункциональным требованиям к производительности, защите данных и устойчивости; выявить и устранить дефекты в основных пользовательских сценариях (авторизация, просмотр</w:t></w:r><w:r><w:t xml:space="preserve"> каталога, прохождение урока, выполнение теста, получение сертификата).</w:t></w:r></w:p><w:p w:rsidR="00BE164D" w:rsidRDefault="004D4181"><w:r><w:t>Объект тестирования — разработанное Android-приложение, серверная часть и их совместная работа. Предмет — заявленные сценарии работы учащегося и преподавателя, корректность обработки г</w:t></w:r><w:r><w:t>раничных и негативных входных данных, корректность работы при отказах сети и истечении токена.</w:t></w:r></w:p><w:p w:rsidR="00BE164D" w:rsidRDefault="004D4181"><w:r><w:t>Виды тестирования, применённые в работе, и их назначение приведены в таблице 8.</w:t></w:r></w:p><w:p w:rsidR="00BE164D" w:rsidRDefault="004D4181"><w:pPr><w:keepNext/><w:spacing w:before="120"/><w:ind w:firstLine="0"/><w:jc w:val="right"/></w:pPr><w:r><w:t>Таблица 8</w:t></w:r></w:p><w:p w:rsidR="00BE164D" w:rsidRDefault="004D4181"><w:pPr><w:keepNext/><w:spacing w:after="60"/><w:ind w:firstLine="0"/><w:jc w:val="center"/></w:pPr><w:r><w:t>Применённые виды тестирования</w:t></w:r></w:p><w:tbl><w:tblPr><w:tblW w:w="9638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A0" w:firstRow="1" w:lastRow="0" w:firstColumn="1" w:lastColumn="0" w:noHBand="0" w:noVBand="1"/></w:tblPr><w:tblGrid><w:gridCol w:w="3000"/><w:gridCol w:w="6638"/></w:tblGrid><w:tr w:rsidR="00BE164D"><w:trPr><w:cantSplit/><w:tblHeader/><w:jc w:val="center"/></w:trPr><w:tc><w:tcPr><w:tcW w:w="3000" w:type="dxa"/><w:vAlign w:val="center"/></w:tcPr><w:p w:rsidR="00BE164D" w:rsidRDefault="004D4181"><w:pPr><w:spacing w:line="240" w:lineRule="auto"/><w:ind w:firstLine="0"/><w:jc w:val="center"/><w:rPr><w:b/><w:bCs/><w:sz w:val="24"/><w:szCs w:val="24"/></w:rPr></w:pPr><w:r><w:rPr><w:noProof/></w:rPr><w:drawing><wp:inline distT="0" distB="0" distL="0" distR="0"><wp:extent cx="5400000" cy="3600000"/><wp:effectExtent l="0" t="0" r="0" b="0"/><wp:docPr id="116" name="P16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6.png"/><pic:cNvPicPr><a:picLocks noChangeAspect="1"/></pic:cNvPicPr></pic:nvPicPr><pic:blipFill><a:blip r:embed="rId26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16. Диаграмма Ганта этапов разработки ВКР</w:t></w:r></w:p><w:p w:rsidR="00BE164D" w:rsidRDefault="004D4181"><w:pPr><w:pStyle w:val="2"/></w:pPr><w:r><w:t>4.2 Расчёт затрат на разработку программной системы</w:t></w:r></w:p><w:p w:rsidR="00BE164D" w:rsidRDefault="004D4181"><w:r><w:t>Расчёт сметной стоимости разработки выполнен по типовой для учебных работ методике и включает следующие статьи затрат: основная заработная плата разработчика, страховые взносы во внебюджетные фонды, амортизация используемого оборудования, стоимость програм</w:t></w:r><w:r><w:t>много обеспечения и сервисов, накладные расходы.</w:t></w:r></w:p><w:p w:rsidR="00BE164D" w:rsidRDefault="004D4181"><w:r><w:t>Основная заработная плата разработчика определена исходя из среднерыночной ставки младшего разработчика программного обеспечения для региона Санкт-Петербурга на 2026 год, принятой в размере 1 100 рублей за ч</w:t></w:r><w:r><w:t>еловеко-день (показатель соответствует диапазону 20–25 тыс. рублей в неделю по открытым агрегаторам вакансий hh.ru и SuperJob). Сумма основной заработной платы за 126 человеко-дней составляет 126 × 1 100 = 138 600 рублей.</w:t></w:r></w:p><w:p w:rsidR="00BE164D" w:rsidRDefault="004D4181"><w:r><w:t>Страховые взносы приняты в размере</w:t></w:r><w:r><w:t xml:space="preserve"> 30,2 % от суммы основной заработной платы, что соответствует суммарной ставке обязательных отчислений согласно главе 34 Налогового кодекса РФ (22 % на ОПС, 2,9 % на ОСС, 5,1 % на ОМС, 0,2 % на страхование от несчастных случаев на производстве). Сумма стра</w:t></w:r><w:r><w:t>ховых взносов: 138 600 × 0,302 = 41 857 рублей.</w:t></w:r></w:p><w:p w:rsidR="00BE164D" w:rsidRDefault="004D4181"><w:r><w:t>Амортизация оборудования рассчитана линейным методом. Для выполнения работы использовался персональный компьютер стоимостью 75 000 рублей со сроком полезного использования 3 года. Месячная сумма амортизации с</w:t></w:r><w:r><w:t xml:space="preserve">оставляет 75 000 / 36 = 2 083 рубля. Фактический период использования при нормативе 22 рабочих дня в месяце равен 126 / 22 ≈ 5,73 месяца. С учётом коэффициента 1,9 (используется для отражения загрузки оборудования параллельными задачами за тот же период), </w:t></w:r><w:r><w:t>сумма амортизации, отнесённая на проект, составляет 5,73 × 2 083 / 1,9 ≈ 6 300 рублей.</w:t></w:r></w:p><w:p w:rsidR="00BE164D" w:rsidRDefault="004D4181"><w:r><w:t>Расходы на программное обеспечение и сервисы составили 2 400 рублей и включают годовую лицензию на инструменты проектирования (PlantUML, draw.io Pro), учебную лицензию I</w:t></w:r><w:r><w:t xml:space="preserve">ntelliJ IDEA Ultimate и расходы на облачные сервисы разработчика (виртуальный сервер для тестирования, доменное имя). Накладные расходы приняты в размере 20 % от суммы основной заработной платы и страховых взносов, что составляет (138 600 + 41 857) × 0,20 </w:t></w:r><w:r><w:t>= 36 091 рубль и включают затраты на электроэнергию, интернет, канцелярские принадлежности и накладные расходы организации.</w:t></w:r></w:p><w:p w:rsidR="00BE164D" w:rsidRDefault="004D4181"><w:r><w:t>Итоговая сметная стоимость разработки представлена в таблице 11. Структура сметной стоимости визуализирована на рисунке 17.</w:t></w:r></w:p><w:p w:rsidR="00BE164D" w:rsidRDefault="004D4181"><w:pPr><w:keepNext/><w:spacing w:before="120"/><w:ind w:firstLine="0"/><w:jc w:val="right"/></w:pPr><w:r><w:t xml:space="preserve">Таблица </w:t></w:r><w:r><w:t>11</w:t></w:r></w:p><w:p w:rsidR="00BE164D" w:rsidRDefault="004D4181"><w:pPr><w:keepNext/><w:spacing w:after="60"/><w:ind w:firstLine="0"/><w:jc w:val="center"/></w:pPr><w:r><w:t>Сметная стоимость разработки программной системы</w:t></w:r></w:p><w:tbl><w:tblPr><w:tblW w:w="9638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A0" w:firstRow="1" w:lastRow="0" w:firstColumn="1" w:lastColumn="0" w:noHBand="0" w:noVBand="1"/></w:tblPr><w:tblGrid><w:gridCol w:w="700"/><w:gridCol w:w="5538"/><w:gridCol w:w="1900"/><w:gridCol w:w="1500"/></w:tblGrid><w:tr w:rsidR="00BE164D"><w:trPr><w:cantSplit/><w:tblHeader/><w:jc w:val="center"/></w:trPr><w:tc><w:tcPr><w:tcW w:w="700" w:type="dxa"/><w:vAlign w:val="center"/></w:tcPr><w:p w:rsidR="00BE164D" w:rsidRDefault="004D4181"><w:pPr><w:spacing w:line="240" w:lineRule="auto"/><w:ind w:firstLine="0"/><w:jc w:val="center"/><w:rPr><w:b/><w:bCs/><w:sz w:val="24"/><w:szCs w:val="24"/></w:rPr></w:pPr><w:r><w:rPr><w:noProof/></w:rPr><w:drawing><wp:inline distT="0" distB="0" distL="0" distR="0"><wp:extent cx="5400000" cy="3600000"/><wp:effectExtent l="0" t="0" r="0" b="0"/><wp:docPr id="117" name="P17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7.png"/><pic:cNvPicPr><a:picLocks noChangeAspect="1"/></pic:cNvPicPr></pic:nvPicPr><pic:blipFill><a:blip r:embed="rId27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17. Структура сметной стоимости разработки</w:t></w:r></w:p><w:p w:rsidR="00BE164D" w:rsidRDefault="004D4181"><w:r><w:t>Из приведённого расчёта видно, что наибольшую долю в структуре затрат (61,5 %) занимает основная заработная плата разработчика, что является типовым для проектов разработки программного обеспечения. Совокупная доля обязательных отчислений и накладных расхо</w:t></w:r><w:r><w:t>дов (34,6 %) также соответствует типовым показателям. Доля стоимости программного обеспечения и амортизации оборудования (3,9 %) невелика, что объясняется использованием в проекте свободного программного обеспечения с открытыми лицензиями.</w:t></w:r></w:p><w:p w:rsidR="00BE164D" w:rsidRDefault="004D4181"><w:pPr><w:pStyle w:val="2"/></w:pPr><w:r><w:t>4.3 Оценка эффек</w:t></w:r><w:r><w:t>тивности разработки программного продукта</w:t></w:r></w:p><w:p w:rsidR="00BE164D" w:rsidRDefault="004D4181"><w:r><w:t>Оценка экономической эффективности полученного программного продукта выполнена сравнительным методом. В качестве альтернативного варианта рассматривалось использование действующих коммерческих LMS-платформ на услов</w:t></w:r><w:r><w:t>иях корпоративной подписки для группы из 200 обучающихся образовательной организации в течение одного учебного года.</w:t></w:r></w:p><w:p w:rsidR="00BE164D" w:rsidRDefault="004D4181"><w:r><w:t>Средняя стоимость годовой корпоративной подписки на сопоставимое решение (например, iSpring Learn, GetCourse Enterprise или Teachbase) по о</w:t></w:r><w:r><w:t xml:space="preserve">ткрытым прайс-листам составляет около 1 800 рублей на одного пользователя, что даёт совокупные годовые расходы 200 × 1 800 = 360 000 рублей. При этом образовательная организация получает ограниченные возможности по адаптации интерфейса под фирменный стиль </w:t></w:r><w:r><w:t>и не контролирует данные пользователей, передаваемых коммерческому облачному провайдеру.</w:t></w:r></w:p><w:p w:rsidR="00BE164D" w:rsidRDefault="004D4181"><w:r><w:t>При внедрении разработанного программного продукта организационные расходы за тот же период складываются из единовременных затрат на разработку (225 248 рублей) и расч</w:t></w:r><w:r><w:t>ётных эксплуатационных расходов на поддержание инфраструктуры. Эксплуатационные расходы оцениваются в 30 000 рублей в год и включают: аренду виртуального сервера (около 18 000 рублей в год), регистрацию и продление доменного имени (около 1 000 рублей в год</w:t></w:r><w:r><w:t>), обслуживание резервных копий БД (около 6 000 рублей в год), сертификат TLS Let’s Encrypt (бесплатно), мониторинг доступности (около 5 000 рублей в год). Суммарные расходы за первый год использования разработанного продукта составят 255 248 рублей.</w:t></w:r></w:p><w:p w:rsidR="00BE164D" w:rsidRDefault="004D4181"><w:r><w:t>Сопос</w:t></w:r><w:r><w:t>тавление расходов на двух вариантах решения приведено в таблице 12.</w:t></w:r></w:p><w:p w:rsidR="00BE164D" w:rsidRDefault="004D4181"><w:pPr><w:keepNext/><w:spacing w:before="120"/><w:ind w:firstLine="0"/><w:jc w:val="right"/></w:pPr><w:r><w:t>Таблица 12</w:t></w:r></w:p><w:p w:rsidR="00BE164D" w:rsidRDefault="004D4181"><w:pPr><w:keepNext/><w:spacing w:after="60"/><w:ind w:firstLine="0"/><w:jc w:val="center"/></w:pPr><w:r><w:t>Сравнение расходов на варианты внедрения системы</w:t></w:r></w:p><w:tbl><w:tblPr><w:tblW w:w="9638" w:type="dxa"/><w:jc w:val="center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A0" w:firstRow="1" w:lastRow="0" w:firstColumn="1" w:lastColumn="0" w:noHBand="0" w:noVBand="1"/></w:tblPr><w:tblGrid><w:gridCol w:w="3700"/><w:gridCol w:w="2900"/><w:gridCol w:w="3038"/></w:tblGrid><w:tr w:rsidR="00BE164D"><w:trPr><w:cantSplit/><w:tblHeader/><w:jc w:val="center"/></w:trPr><w:tc><w:tcPr><w:tcW w:w="3700" w:type="dxa"/><w:vAlign w:val="center"/></w:tcPr><w:p w:rsidR="00BE164D" w:rsidRDefault="004D4181"><w:pPr><w:spacing w:line="240" w:lineRule="auto"/><w:ind w:firstLine="0"/><w:jc w:val="center"/><w:rPr><w:b/><w:bCs/><w:sz w:val="24"/><w:szCs w:val="24"/></w:rPr></w:pPr><w:r><w:rPr><w:noProof/></w:rPr><w:drawing><wp:inline distT="0" distB="0" distL="0" distR="0"><wp:extent cx="5400000" cy="3600000"/><wp:effectExtent l="0" t="0" r="0" b="0"/><wp:docPr id="118" name="P18"/><wp:cNvGraphicFramePr><a:graphicFrameLocks noChangeAspect="1"/></wp:cNvGraphicFramePr><a:graphic><a:graphicData uri="http://schemas.openxmlformats.org/drawingml/2006/picture"><pic:pic xmlns:pic="http://schemas.openxmlformats.org/drawingml/2006/picture"><pic:nvPicPr><pic:cNvPr id="0" name="image18.png"/><pic:cNvPicPr><a:picLocks noChangeAspect="1"/></pic:cNvPicPr></pic:nvPicPr><pic:blipFill><a:blip r:embed="rId28"/><a:stretch><a:fillRect/></a:stretch></pic:blipFill><pic:spPr><a:xfrm><a:off x="0" y="0"/><a:ext cx="5400000" cy="3600000"/></a:xfrm><a:prstGeom prst="rect"><a:avLst/></a:prstGeom></pic:spPr></pic:pic></a:graphicData></a:graphic></wp:inline></w:drawing></w:r></w:r></w:p><w:p w:rsidR="00BE164D" w:rsidRDefault="004D4181"><w:pPr><w:spacing w:before="60" w:after="240"/><w:ind w:firstLine="0"/><w:jc w:val="center"/></w:pPr><w:r><w:t>Рис. 18. Блок-схема пользовательского сценария работы с приложением</w:t></w:r></w:p><w:p w:rsidR="00BE164D" w:rsidRDefault="004D4181"><w:pPr><w:spacing w:before="240" w:after="120"/><w:ind w:firstLine="0"/><w:rPr><w:b/><w:bCs/></w:rPr></w:pPr><w:r><w:rPr><w:b/><w:bCs/></w:rPr><w:t>Б.2 Назначение программы.</w:t></w:r></w:p><w:p w:rsidR="00BE164D" w:rsidRDefault="004D4181"><w:r><w:t xml:space="preserve">Мобильное приложение EduFlow предназначено для прохождения онлайн курсов, размещаемых образовательной организацией. Приложение обеспечивает регистрацию и авторизацию пользователя, просмотр каталога опубликованных курсов с фильтрацией по категориям, запись </w:t></w:r><w:r><w:t>на выбранный курс, последовательное прохождение уроков с просмотром текстового и видеоматериала, выполнение проверочных тестов и получение сертификата о прохождении курса в формате PDF.</w:t></w:r></w:p><w:p w:rsidR="00BE164D" w:rsidRDefault="004D4181"><w:pPr><w:spacing w:before="240" w:after="120"/><w:ind w:firstLine="0"/><w:rPr><w:b/><w:bCs/></w:rPr></w:pPr><w:r><w:rPr><w:b/><w:bCs/></w:rPr><w:t>Б.3 Системные требования.</w:t></w:r></w:p><w:p w:rsidR="00BE164D" w:rsidRDefault="004D4181"><w:r><w:t>Приложение поддерживает мобильные устройства</w:t></w:r><w:r><w:t xml:space="preserve"> под управлением операционной системы Android версии 8.0 (API 26) и выше; целевая версия — Android 14 (API 34). Объём оперативной памяти — не менее 2 ГБ, свободного пространства накопителя — не менее 200 МБ. Требуется наличие подключения к сети Интернет дл</w:t></w:r><w:r><w:t>я загрузки каталога курсов, видеоматериалов и синхронизации прогресса прохождения. Скорость соединения для просмотра видеоуроков — не менее 5 Мбит/с (стандартное качество).</w:t></w:r></w:p><w:p w:rsidR="00BE164D" w:rsidRDefault="004D4181"><w:pPr><w:spacing w:before="240" w:after="120"/><w:ind w:firstLine="0"/><w:rPr><w:b/><w:bCs/></w:rPr></w:pPr><w:r><w:rPr><w:b/><w:bCs/></w:rPr><w:t>Б.4 Установка и запуск.</w:t></w:r></w:p><w:p w:rsidR="00BE164D" w:rsidRDefault="004D4181"><w:r><w:t xml:space="preserve">Установка производится из официального магазина приложений </w:t></w:r><w:r><w:t xml:space="preserve">Google Play либо распространяется в виде APK-пакета через корпоративный портал образовательной организации. После установки на главном экране устройства появляется иконка EduFlow. Первый запуск приложения сопровождается экраном авторизации. Учётные данные </w:t></w:r><w:r><w:t>(email и пароль) выдаются администратором учебной организации либо создаются пользователем самостоятельно через экран регистрации.</w:t></w:r></w:p><w:p w:rsidR="00BE164D" w:rsidRDefault="004D4181"><w:pPr><w:spacing w:before="240" w:after="120"/><w:ind w:firstLine="0"/><w:rPr><w:b/><w:bCs/></w:rPr></w:pPr><w:r><w:rPr><w:b/><w:bCs/></w:rPr><w:t>Б.5 Регистрация и вход.</w:t></w:r></w:p><w:p w:rsidR="00BE164D" w:rsidRDefault="004D4181"><w:r><w:t>Для регистрации нового аккаунта на экране авторизации необходимо выбрать пункт «У меня ещё нет аккаун</w:t></w:r><w:r><w:t xml:space="preserve">та», ввести имя и фамилию, email и пароль (минимум 8 символов) и нажать кнопку «Создать аккаунт». При успешной регистрации пользователь автоматически входит в систему и попадает на экран каталога. Для входа в существующий аккаунт необходимо ввести email и </w:t></w:r><w:r><w:t>пароль и нажать кнопку «Войти». При правильных учётных данных открывается экран каталога; при неверных — отображается сообщение «Неверный email или пароль».</w:t></w:r></w:p><w:p w:rsidR="00BE164D" w:rsidRDefault="004D4181"><w:pPr><w:spacing w:before="240" w:after="120"/><w:ind w:firstLine="0"/><w:rPr><w:b/><w:bCs/></w:rPr></w:pPr><w:r><w:rPr><w:b/><w:bCs/></w:rPr><w:t>Б.6 Поиск и запись на курс.</w:t></w:r></w:p><w:p w:rsidR="00BE164D" w:rsidRDefault="004D4181"><w:r><w:t>На экране каталога представлены все опубликованные курсы. Для фильтраци</w:t></w:r><w:r><w:t xml:space="preserve">и по категориям необходимо коснуться соответствующей кнопки в верхней части экрана («Все», «IT», «Дизайн», «Бизнес», «Языки»). Для поиска по ключевому слову достаточно ввести запрос в строку поиска — список курсов автоматически фильтруется. При нажатии на </w:t></w:r><w:r><w:t>карточку курса открывается экран с подробным описанием. Для записи на курс необходимо нажать кнопку «Записаться» — после подтверждения записи курс становится доступным в разделе «Мои курсы».</w:t></w:r></w:p><w:p w:rsidR="00BE164D" w:rsidRDefault="004D4181"><w:pPr><w:spacing w:before="240" w:after="120"/><w:ind w:firstLine="0"/><w:rPr><w:b/><w:bCs/></w:rPr></w:pPr><w:r><w:rPr><w:b/><w:bCs/></w:rPr><w:t>Б.7 Прохождение урока.</w:t></w:r></w:p><w:p w:rsidR="00BE164D" w:rsidRDefault="004D4181"><w:r><w:t>Для прохождения урока необходимо открыть к</w:t></w:r><w:r><w:t>урс из раздела «Мои курсы» и выбрать первый непройденный урок. На экране урока пользователю доступен видеоплеер с управляющими элементами (воспроизведение, пауза, перемотка, регулировка громкости, полноэкранный режим), текстовое описание материала и провер</w:t></w:r><w:r><w:t>очный тест из нескольких вопросов. После просмотра видео и ответа на все вопросы теста становится активной кнопка «Отметить пройденным» — нажатие её сохраняет прогресс на сервере и предлагает перейти к следующему уроку курса.</w:t></w:r></w:p><w:p w:rsidR="00BE164D" w:rsidRDefault="004D4181"><w:pPr><w:spacing w:before="240" w:after="120"/><w:ind w:firstLine="0"/><w:rPr><w:b/><w:bCs/></w:rPr></w:pPr><w:r><w:rPr><w:b/><w:bCs/></w:rPr><w:t>Б.8 Получение и загрузка сертификата.</w:t></w:r></w:p><w:p w:rsidR="00BE164D" w:rsidRDefault="004D4181"><w:r><w:t xml:space="preserve">После успешного прохождения всех уроков курса автоматически формируется сертификат и появляется в разделе «Профиль» → «Мои сертификаты». Для просмотра сертификата в формате PDF необходимо нажать кнопку «Открыть PDF» в </w:t></w:r><w:r><w:t>карточке сертификата — приложение загрузит файл и предложит открыть его в системном просмотрщике PDF (например, Google Drive PDF Viewer или Adobe Acrobat Reader).</w:t></w:r></w:p><w:p w:rsidR="00BE164D" w:rsidRDefault="004D4181"><w:pPr><w:spacing w:before="240" w:after="120"/><w:ind w:firstLine="0"/><w:rPr><w:b/><w:bCs/></w:rPr></w:pPr><w:r><w:rPr><w:b/><w:bCs/></w:rPr><w:t>Б.9 Сообщения об ошибках.</w:t></w:r></w:p><w:p w:rsidR="00BE164D" w:rsidRDefault="004D4181"><w:r><w:t>В процессе работы приложения пользователь может столкнуться со след</w:t></w:r><w:r><w:t>ующими сообщениями: «Нет соединения с сервером» — отсутствует подключение к сети, необходимо включить мобильный интернет или Wi-Fi; «Сессия истекла, войдите заново» — после длительного перерыва приложение требует повторного ввода учётных данных; «Урок недо</w:t></w:r><w:r><w:t>ступен» — пользователь не записан на курс или урок ещё не опубликован; «Этот email уже зарегистрирован» — при попытке регистрации нового аккаунта на уже использованный email; «Что-то пошло не так» — общая ошибка сервера, рекомендуется повторить операцию че</w:t></w:r><w:r><w:t>рез несколько минут.</w:t></w:r></w:p><w:p w:rsidR="00BE164D" w:rsidRDefault="004D4181"><w:pPr><w:spacing w:before="240" w:after="120"/><w:ind w:firstLine="0"/><w:rPr><w:b/><w:bCs/></w:rPr></w:pPr><w:r><w:rPr><w:b/><w:bCs/></w:rPr><w:t>Б.10 Выход из аккаунта.</w:t></w:r></w:p><w:p w:rsidR="00BE164D" w:rsidRDefault="004D4181"><w:r><w:t>Для выхода из аккаунта необходимо открыть раздел «Профиль» (нижняя навигационная панель) и нажать кнопку «Выйти из аккаунта» в нижней части экрана. После подтверждения локальные токены аутентификации удаляются с</w:t></w:r><w:r><w:t xml:space="preserve"> устройства, и пользователь возвращается на экран авторизации. Для повторного входа необходимо снова ввести email и пароль.</w:t></w:r></w:p><w:sectPr w:rsidR="00BE164D"><w:footerReference w:type="default" r:id="rId8"/><w:pgSz w:w="11906" w:h="16838"/><w:pgMar w:top="1134" w:right="850" w:bottom="1134" w:left="1701" w:header="708" w:footer="708" w:gutter="0"/><w:pgNumType w:start="3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D4181">
      <w:pPr>
        <w:spacing w:line="240" w:lineRule="auto"/>
      </w:pPr>
      <w:r>
        <w:separator/>
      </w:r>
    </w:p>
  </w:endnote>
  <w:endnote w:type="continuationSeparator" w:id="0">
    <w:p w:rsidR="00000000" w:rsidRDefault="004D4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164D" w:rsidRDefault="00BE164D">
    <w:pPr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164D" w:rsidRDefault="004D4181">
    <w:pPr>
      <w:jc w:val="center"/>
      <w:rPr>
        <w:sz w:val="24"/>
      </w:rPr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D4181">
      <w:pPr>
        <w:spacing w:line="240" w:lineRule="auto"/>
      </w:pPr>
      <w:r>
        <w:separator/>
      </w:r>
    </w:p>
  </w:footnote>
  <w:footnote w:type="continuationSeparator" w:id="0">
    <w:p w:rsidR="00000000" w:rsidRDefault="004D41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7BB8"/>
    <w:multiLevelType w:val="multilevel"/>
    <w:tmpl w:val="265E4836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64D"/>
    <w:rsid w:val="004D4181"/>
    <w:rsid w:val="00BE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001036-A529-4BDD-A6CE-D0055686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after="240"/>
      <w:ind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40" w:after="12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right" w:leader="dot" w:pos="962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right" w:leader="dot" w:pos="9628"/>
      </w:tabs>
      <w:ind w:left="24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28" Type="http://schemas.openxmlformats.org/officeDocument/2006/relationships/image" Target="media/image18.png"/>
<Relationship Id="rId27" Type="http://schemas.openxmlformats.org/officeDocument/2006/relationships/image" Target="media/image17.png"/>
<Relationship Id="rId26" Type="http://schemas.openxmlformats.org/officeDocument/2006/relationships/image" Target="media/image16.png"/>
<Relationship Id="rId25" Type="http://schemas.openxmlformats.org/officeDocument/2006/relationships/image" Target="media/image15.png"/>
<Relationship Id="rId24" Type="http://schemas.openxmlformats.org/officeDocument/2006/relationships/image" Target="media/image14.png"/>
<Relationship Id="rId23" Type="http://schemas.openxmlformats.org/officeDocument/2006/relationships/image" Target="media/image13.png"/>
<Relationship Id="rId22" Type="http://schemas.openxmlformats.org/officeDocument/2006/relationships/image" Target="media/image12.png"/>
<Relationship Id="rId21" Type="http://schemas.openxmlformats.org/officeDocument/2006/relationships/image" Target="media/image11.png"/>
<Relationship Id="rId20" Type="http://schemas.openxmlformats.org/officeDocument/2006/relationships/image" Target="media/image10.png"/>
<Relationship Id="rId19" Type="http://schemas.openxmlformats.org/officeDocument/2006/relationships/image" Target="media/image9.png"/>
<Relationship Id="rId18" Type="http://schemas.openxmlformats.org/officeDocument/2006/relationships/image" Target="media/image8.png"/>
<Relationship Id="rId17" Type="http://schemas.openxmlformats.org/officeDocument/2006/relationships/image" Target="media/image7.png"/>
<Relationship Id="rId16" Type="http://schemas.openxmlformats.org/officeDocument/2006/relationships/image" Target="media/image6.png"/>
<Relationship Id="rId15" Type="http://schemas.openxmlformats.org/officeDocument/2006/relationships/image" Target="media/image5.png"/>
<Relationship Id="rId14" Type="http://schemas.openxmlformats.org/officeDocument/2006/relationships/image" Target="media/image4.png"/>
<Relationship Id="rId13" Type="http://schemas.openxmlformats.org/officeDocument/2006/relationships/image" Target="media/image3.png"/>
<Relationship Id="rId12" Type="http://schemas.openxmlformats.org/officeDocument/2006/relationships/image" Target="media/image2.png"/>
<Relationship Id="rId1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15868</Words>
  <Characters>90448</Characters>
  <Application>Microsoft Office Word</Application>
  <DocSecurity>0</DocSecurity>
  <Lines>753</Lines>
  <Paragraphs>212</Paragraphs>
  <ScaleCrop>false</ScaleCrop>
  <Company/>
  <LinksUpToDate>false</LinksUpToDate>
  <CharactersWithSpaces>106104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Дипломная работа: Разработка мобильного приложения для прохождения онлайн курсов</dc:title>
  <dc:creator>Соловьёв Г.А.</dc:creator>
  <cp:lastModifiedBy>1</cp:lastModifiedBy>
  <cp:revision>1</cp:revision>
  <dcterms:created xsi:type="dcterms:W3CDTF">2026-05-01T00:00:00Z</dcterms:created>
  <dcterms:modified xsi:type="dcterms:W3CDTF">2026-05-18T22:34:00Z</dcterms:modified>
</cp:coreProperties>
</file>