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60" w:before="0" w:line="340"/>
        <w:jc w:val="center"/>
      </w:pPr>
      <w:r>
        <w:rPr>
          <w:rFonts w:ascii="맑은 고딕" w:cs="맑은 고딕" w:eastAsia="맑은 고딕" w:hAnsi="맑은 고딕"/>
          <w:b/>
          <w:bCs/>
          <w:color w:val="1A1A2E"/>
          <w:sz w:val="38"/>
          <w:szCs w:val="38"/>
        </w:rPr>
        <w:t xml:space="preserve">익명조합 투자계약서</w:t>
      </w:r>
    </w:p>
    <w:p>
      <w:pPr>
        <w:spacing w:after="200" w:before="0" w:line="34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Anonymous Partnership Investment Agreement</w:t>
      </w:r>
    </w:p>
    <w:p>
      <w:pPr>
        <w:pBdr>
          <w:bottom w:val="single" w:color="1A1A2E" w:sz="6" w:space="2"/>
        </w:pBdr>
        <w:spacing w:after="0" w:before="0" w:line="340"/>
      </w:pPr>
    </w:p>
    <w:p>
      <w:pPr>
        <w:spacing w:after="0" w:before="160"/>
      </w:pPr>
    </w:p>
    <w:p>
      <w:pPr>
        <w:shd w:fill="FFF3CD" w:val="clear"/>
        <w:spacing w:after="90" w:before="90" w:line="340"/>
        <w:ind w:left="160" w:right="160"/>
      </w:pPr>
      <w:r>
        <w:rPr>
          <w:rFonts w:ascii="맑은 고딕" w:cs="맑은 고딕" w:eastAsia="맑은 고딕" w:hAnsi="맑은 고딕"/>
          <w:color w:val="6B4000"/>
          <w:sz w:val="19"/>
          <w:szCs w:val="19"/>
        </w:rPr>
        <w:t xml:space="preserve">⚠  본 계약은 원금 및 수익을 보장하지 않습니다. 투자 원금의 전부 또는 일부를 손실할 수 있으며, 과거 수익률은 미래 수익을 보장하지 않습니다. 서명 전 모든 조항을 충분히 이해하였는지 확인하십시오.</w:t>
      </w:r>
    </w:p>
    <w:p>
      <w:pPr>
        <w:spacing w:after="0" w:before="1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계약 형태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익명조합 (상법 제78조~제86조)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공동 영업자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이정민, 장재혁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익명조합원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성명: ___________________________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투자금 입금 계좌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이정민 명의 지정 계좌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계약 체결일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20____년 ____월 ____일</w:t>
            </w:r>
          </w:p>
        </w:tc>
      </w:tr>
    </w:tbl>
    <w:p>
      <w:pPr>
        <w:spacing w:after="0" w:before="0" w:line="340"/>
      </w:pPr>
      <w:r>
        <w:br/>
      </w: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전문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본 계약은 이정민 및 장재혁(이하 공동하여 '영업자')과 익명조합원(이하 '투자자') 사이에, 영업자가 운용하는 암호화폐 차익거래 자동화 시스템(이하 '봇')에 자금을 출자함에 있어 상호 권리·의무를 명확히 하기 위하여 상법 제78조 이하의 익명조합으로 체결된다.</w:t>
      </w:r>
    </w:p>
    <w:p>
      <w:pPr>
        <w:spacing w:after="0" w:before="50"/>
      </w:pP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본 계약은 원금 및 수익을 보장하지 아니하며, 투자자는 운용 결과에 따른 이익 또는 손실을 토큰 기준 정산 방식에 따라 부담한다.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제1조 (계약 당사자)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3600"/>
        <w:gridCol w:w="1326"/>
      </w:tblGrid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성명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역할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서명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영업자 (갑)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이정민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개발·운용·투자 / 성과보수 60%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영업자 (갑)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장재혁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영업·사업·투자 / 성과보수 40%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익명조합원 (을)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투자자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② 영업자는 본 계약에 관한 제반 업무를 이정민이 대표하여 처리할 수 있으며, 영업자 내부 관계는 별도 약정에 따른다.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제2조 (정의)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본 계약에서 사용하는 주요 용어의 정의는 다음과 같다.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용어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정의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봇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영업자가 운용하는 암호화폐 김치프리미엄 차익거래 자동화 시스템 V3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전체 운용자산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봇이 운용하는 모든 거래소·체인·DEX 잔고의 실시간 USD 평가총액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토큰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본 계약의 디지털 증표로 발행되는 ERC-20 기반 토큰 (투자계약상 권리 확인 수단)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토큰 가격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전체 운용자산 현재가치 ÷ 총 발행 토큰 수 (USD 기준, 실시간 산정)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오라클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토큰 가격을 산정·검증하는 영업자 운영 오프체인 노드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성과보수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세금 유보금 선차감 후 잔여 운용수익의 30%, 영업자에게 귀속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세금 유보금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전체 운용수익에서 우선 차감하는 납세 준비금 (운용수익의 11%)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하이워터마크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성과보수 면제 기준선. 최초 토큰 발행가를 초기값으로 하며, 성과보수 산정 후 토큰 가격이 직전 기준선을 초과하면 해당 가격이 새 기준선이 됨</w:t>
            </w:r>
          </w:p>
        </w:tc>
      </w:tr>
    </w:tbl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제3조 (익명조합 구성 및 운용 방식)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① 본 계약은 상법 제78조 이하의 익명조합으로서, 투자자는 익명조합원으로 금전을 출자하고 영업자는 해당 자금을 봇 운용에 사용한다.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② 투자자는 영업자의 운용 결과에 따른 손익을 토큰 기준 정산 방식으로 분배받는다.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③ 영업자는 봇 운용을 위하여 업비트, 바이낸스, 빗썸 및 기타 거래소와 온체인·오프체인 수단을 재량으로 활용할 수 있다.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④ 투자자는 영업자의 운용 업무에 간섭할 수 없다.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제4조 (투자금 납입 및 토큰 발행)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① 투자자는 아래 지정 계좌로 투자금을 납입한다.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예금주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이정민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은행명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___________________________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계좌번호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___________________________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최소 투자금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금 10,000,000원 (일천만 원)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납입 기한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계약 체결일로부터 ____일 이내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투자자 지갑 주소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0x___________________________________________</w:t>
            </w:r>
          </w:p>
        </w:tc>
      </w:tr>
    </w:tbl>
    <w:p>
      <w:pPr>
        <w:spacing w:after="0" w:before="90"/>
      </w:pP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② 영업자는 납입 확인 후 업비트 USDT/KRW 마켓 환율로 USD 환산하고, 납입 시점의 현재 토큰 가격에 따라 토큰을 산정하여 투자자 지갑 주소로 발행·지급한다.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③ 발행된 토큰은 투자계약상 권리 확인 수단이며, 별도 금융상품·증권·가상자산 매매의 목적물이 아니다.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④ 추가 투자는 영업자의 사전 승낙을 받아 동일한 절차로 진행한다.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제5조 (토큰 가격 산정)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① 토큰 가격은 아래 산식으로 실시간 산정한다.</w:t>
      </w:r>
    </w:p>
    <w:p>
      <w:pPr>
        <w:spacing w:after="0" w:before="60"/>
      </w:pPr>
    </w:p>
    <w:p>
      <w:pPr>
        <w:shd w:fill="F0F0F0" w:val="clear"/>
        <w:spacing w:after="90" w:before="90" w:line="340"/>
        <w:jc w:val="center"/>
      </w:pPr>
      <w:r>
        <w:rPr>
          <w:rFonts w:ascii="맑은 고딕" w:cs="맑은 고딕" w:eastAsia="맑은 고딕" w:hAnsi="맑은 고딕"/>
          <w:b/>
          <w:bCs/>
          <w:color w:val="1A1A2E"/>
          <w:sz w:val="20"/>
          <w:szCs w:val="20"/>
        </w:rPr>
        <w:t xml:space="preserve">토큰 가격 (USD) = 전체 운용자산 현재가치 ÷ 총 발행 토큰 수</w:t>
      </w:r>
    </w:p>
    <w:p>
      <w:pPr>
        <w:spacing w:after="0" w:before="80"/>
      </w:pP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② 기준 통화는 USD이며, KRW 자산의 USD 환산에는 업비트 USDT/KRW 마켓 환율을 적용한다.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③ 오라클 반영 대상은 다음과 같다.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업비트·바이낸스·빗썸 및 기타 거래소 잔고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온체인 컨트랙트 잔고 및 perp DEX 잔고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미실현 손익 및 미정산 수수료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성과보수·세금 유보금 반영 후 순 운용자산</w:t>
      </w:r>
    </w:p>
    <w:p>
      <w:pPr>
        <w:spacing w:after="0" w:before="70"/>
      </w:pP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④ 오라클은 영업자가 운영하는 클로즈드소스 오프체인 노드로 산정한다. 투자자는 업비트 읽기전용 API를 통해 잔고를 직접 확인할 수 있다.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⑤ 거래소 API, 체인 RPC, 은행 시스템 등 외부 장애 시 가격 산정 및 출금 처리가 지연되거나 일시 중단될 수 있다.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제6조 (성과보수)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① 영업자는 전체 운용수익(실현·미실현 평가수익 포함)에서 세금 유보금(제7조)을 선차감한 잔여 수익의 30%를 성과보수로 취한다.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000"/>
        <w:gridCol w:w="2726"/>
      </w:tblGrid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산식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귀속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세금 유보금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전체 운용수익 × 11%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별도 보관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성과보수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잔여 수익 × 30%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영업자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투자자 귀속분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잔여 수익 × 70%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토큰 가격 상승 반영</w:t>
            </w:r>
          </w:p>
        </w:tc>
      </w:tr>
    </w:tbl>
    <w:p>
      <w:pPr>
        <w:spacing w:after="0" w:before="80"/>
      </w:pP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② 계산 예시 (전체 운용수익 100 기준):</w:t>
      </w:r>
    </w:p>
    <w:p>
      <w:pPr>
        <w:spacing w:after="40" w:before="40" w:line="340"/>
        <w:ind w:left="5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세금 유보금: 100 × 11% = 11   /   잔여 수익: 89</w:t>
      </w:r>
    </w:p>
    <w:p>
      <w:pPr>
        <w:spacing w:after="40" w:before="40" w:line="340"/>
        <w:ind w:left="5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성과보수: 89 × 30% = 26.7   /   투자자 귀속: 89 × 70% = 62.3</w:t>
      </w:r>
    </w:p>
    <w:p>
      <w:pPr>
        <w:spacing w:after="0" w:before="70"/>
      </w:pP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③ 성과보수는 출금 시점 또는 영업자가 정산을 결정한 시점에 토큰 가격 산정에 자동 반영된다.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④ 전체 운용자산이 하이워터마크에 미달하는 경우 성과보수는 발생하지 아니한다. 하이워터마크는 전체 운용자산 기준으로 판단한다.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⑤ 성과보수 산정 이후 자산 가치가 하락하더라도 이미 산정된 성과보수는 환수하지 아니하며, 해당 변동은 토큰 가격 및 출금 정산액에 반영된다.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제7조 (세금 유보금)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① 영업자는 향후 납세 의무에 대비하여 전체 운용수익의 11%를 세금 유보금으로 우선 차감하여 별도 보관한다.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② 세금 유보금은 차년 5월 세무 신고 결과에 따라 실제 세액을 차감한 후 환급 또는 추가 정산한다.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③ 구체적인 처리 방식은 세무 전문가 검토 결과에 따라 변경될 수 있으며, 영업자는 변경 사항을 투자자에게 통보한다.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제8조 (출금 및 정산)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① 투자자는 출금 처리 속도에 따라 아래 수수료를 선택하여 출금을 요청할 수 있다.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400"/>
        <w:gridCol w:w="3026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출금 유형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처리 기간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수수료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2D2D2D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즉시출금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즉시 (유동성 범위 내)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5%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대형 출금 시 불가 가능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일반출금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24시간 이내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1%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예약출금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7일 이내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0.1%</w:t>
            </w:r>
          </w:p>
        </w:tc>
        <w:tc>
          <w:tcPr>
            <w:tcW w:type="dxa" w:w="3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35" w:before="35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권장</w:t>
            </w:r>
          </w:p>
        </w:tc>
      </w:tr>
    </w:tbl>
    <w:p>
      <w:pPr>
        <w:spacing w:after="0" w:before="80"/>
      </w:pP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② 출금 정산 금액은 다음과 같이 계산한다.</w:t>
      </w:r>
    </w:p>
    <w:p>
      <w:pPr>
        <w:spacing w:after="40" w:before="40" w:line="340"/>
        <w:ind w:left="50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출금액 (KRW) = 반납 토큰 수 × 출금 시점 토큰 가격(USD) × 업비트 USDT/KRW 환율 × (1 − 수수료율)</w:t>
      </w:r>
    </w:p>
    <w:p>
      <w:pPr>
        <w:spacing w:after="0" w:before="70"/>
      </w:pP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③ 출금 수수료는 영업자에게 귀속된다.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④ 즉시출금 가능 금액은 유동성, 거래소 출금 한도, 포지션 정리 가능성에 따라 제한될 수 있다.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⑤ 전체 운용자산의 10% 이상 또는 금 1억원 이상의 대형 출금 요청 시, 영업자는 출금 처리 기간을 연장하거나 분할 지급할 수 있으며 투자자에게 사전 통보한다.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⑥ 부분 출금은 허용하며, 잔여 평가금액이 최소 투자금 미만이 되어도 계약은 자동 종료되지 아니한다.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제9조 (토큰 양도)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① 투자자는 보유 토큰을 제3자에게 자유롭게 양도할 수 있다.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② 토큰 양수인이 정산청구권·출금청구권 등 계약상 권리를 행사하려면 영업자가 요구하는 본인확인, 지갑주소 확인, 계약 승계 확인 절차를 완료하여야 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③ 영업자는 자금세탁 의심, 제재 위반, 합리적 사유가 있는 경우 정산청구권 이전 승인을 거절 또는 보류할 수 있다.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④ 토큰 양도 과정에서 발생하는 손실, 사기, 지갑 오입금, 개인키 분실, 제3자 해킹에 대해 영업자는 책임지지 아니한다.</w:t>
      </w:r>
    </w:p>
    <w:p>
      <w:pPr>
        <w:spacing w:after="0" w:before="50"/>
      </w:pPr>
    </w:p>
    <w:p>
      <w:pPr>
        <w:shd w:fill="FFF3CD" w:val="clear"/>
        <w:spacing w:after="60" w:before="60" w:line="340"/>
        <w:ind w:left="160" w:right="160"/>
      </w:pPr>
      <w:r>
        <w:rPr>
          <w:rFonts w:ascii="맑은 고딕" w:cs="맑은 고딕" w:eastAsia="맑은 고딕" w:hAnsi="맑은 고딕"/>
          <w:color w:val="6B4000"/>
          <w:sz w:val="18"/>
          <w:szCs w:val="18"/>
        </w:rPr>
        <w:t xml:space="preserve">※ 토큰 P2P 자유양도와 비공개·소수 익명조합 구조 간 충돌 가능성이 있어 향후 법률 검토 결과에 따라 본 조항이 변경될 수 있습니다.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제10조 (위험 고지)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투자자는 아래 위험 사항을 충분히 이해하고 서명하였음을 확인한다.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원금 손실: 봇 운용 결과에 따라 투자 원금의 전부 또는 일부를 손실할 수 있습니다.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수익 미보장: 과거 수익률은 미래 수익을 보장하지 않으며, 영업자는 수익을 약속하지 않습니다.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토큰 가치 변동: 운용 손실 시 토큰 가격이 하락합니다. 본 토큰은 거래소에 상장되지 않습니다.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유동성 리스크: 즉시출금이 제한될 수 있으며, 대형 출금은 처리가 지연될 수 있습니다.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기술 리스크: 거래소 해킹, 스마트컨트랙트 버그, 오라클 오류로 자산이 손실될 수 있습니다.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규제 리스크: 가상자산 법령·규제 변경으로 운용 방식 변경 또는 계약이 종료될 수 있습니다.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미실현 수익 성과보수: 미실현 평가수익에도 성과보수가 부과되며, 이후 자산 하락 시에도 환수되지 않습니다.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제11조 (영업자 의무)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① 투자자에게 업비트 읽기전용 API 키를 제공하여 실시간 잔고 확인이 가능하도록 한다. 플랫폼 연동 완료 전까지는 정기 보고로 대체할 수 있다.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② 월 1회 이상 운용 현황 및 주요 변동 사항을 투자자에게 보고한다.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③ 전체 운용자산 기준 하이워터마크 대비 10% 이상 손실 발생 시 즉시 투자자에게 통보한다.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④ 투자금을 본 계약 목적 외에 사용하지 아니한다.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제12조 (투자자 의무 및 금지 사항)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① 비밀유지: 본 계약의 존재, 투자 금액, 수익률 등 일체의 계약 내용을 제3자에게 공개하지 아니한다.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② 허위사실 유포 금지: 영업자 및 본 계약에 관한 허위 또는 과장 정보를 유포하지 아니한다.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③ 불법 사용 금지: 자금세탁, 탈세, 제재 우회, 기타 불법 목적으로 본 계약을 이용하지 아니한다.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④ 추가 투자 시 영업자의 사전 승낙을 받아야 한다.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제13조 (계약 해지)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① 투자자가 보유 토큰 전부를 반납하고 전액 출금을 완료한 경우 본 계약은 자동 종료된다.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② 영업자는 아래 사유 발생 시 계약을 종료하거나 신규 입출금을 제한할 수 있다.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법령·규제·거래소·금융기관 정책 변경으로 운용이 불가능한 경우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투자자의 비밀유지 위반, 허위사실 유포, 불법 사용 등 중대한 계약 위반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자금세탁·범죄 관련 의심 또는 제재 위반 우려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봇 운용 중단 등 불가피한 사유 (30일 전 사전 통보)</w:t>
      </w:r>
    </w:p>
    <w:p>
      <w:pPr>
        <w:spacing w:after="0" w:before="60"/>
      </w:pP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③ 계약 해지 시 영업자는 잔여 자산을 제8조의 출금 절차에 따라 투자자에게 반환한다.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제14조 (면책 및 책임 제한)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① 영업자는 다음 각 호의 경우 그로 인한 손해에 대해 책임지지 아니한다.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천재지변, 전쟁, 거래소 해킹·파산, 블록체인 네트워크 장애 등 불가항력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스마트컨트랙트 버그, 오라클 오류, 외부 API 장애로 인한 지연 또는 손실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투자자의 지갑 개인키 분실, 오입금, 제3자 해킹</w:t>
      </w:r>
    </w:p>
    <w:p>
      <w:pPr>
        <w:pStyle w:val="ListParagraph"/>
        <w:numPr>
          <w:ilvl w:val="0"/>
          <w:numId w:val="2"/>
        </w:numPr>
        <w:spacing w:after="45" w:before="45" w:line="340"/>
      </w:pPr>
      <w:r>
        <w:rPr>
          <w:rFonts w:ascii="맑은 고딕" w:cs="맑은 고딕" w:eastAsia="맑은 고딕" w:hAnsi="맑은 고딕"/>
          <w:color w:val="2D2D2D"/>
          <w:sz w:val="19"/>
          <w:szCs w:val="19"/>
        </w:rPr>
        <w:t xml:space="preserve">관련 법령·규제 변경으로 인한 운용 중단 또는 계약 종료</w:t>
      </w:r>
    </w:p>
    <w:p>
      <w:pPr>
        <w:spacing w:after="0" w:before="60"/>
      </w:pP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② 본 계약상 영업자의 책임 한도는 투자자가 실제 납입한 투자원금을 초과하지 아니한다.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제15조 (비밀 유지)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① 양 당사자는 본 계약의 존재, 투자 금액, 운용 수익률, 봇 운용 방식 등 일체의 계약 내용을 제3자에게 공개하지 아니한다.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② 법적 의무가 있는 경우 또는 상대방의 서면 동의가 있는 경우는 예외로 한다.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제16조 (분쟁 해결 및 준거법)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① 본 계약에 관한 분쟁은 당사자 간 협의를 우선으로 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② 협의가 성립되지 아니하는 경우 서울중앙지방법원을 전속 관할 법원으로 하는 민사소송에 의한다.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③ 본 계약의 준거법은 대한민국 법률로 한다.</w:t>
      </w:r>
    </w:p>
    <w:p>
      <w:pPr>
        <w:spacing w:after="0" w:before="180"/>
      </w:pPr>
    </w:p>
    <w:p>
      <w:pPr>
        <w:keepNext/>
        <w:pBdr>
          <w:bottom w:val="single" w:color="1A1A2E" w:sz="5" w:space="3"/>
        </w:pBdr>
        <w:spacing w:after="100" w:before="280" w:line="340"/>
      </w:pPr>
      <w:r>
        <w:rPr>
          <w:rFonts w:ascii="맑은 고딕" w:cs="맑은 고딕" w:eastAsia="맑은 고딕" w:hAnsi="맑은 고딕"/>
          <w:b/>
          <w:bCs/>
          <w:color w:val="1A1A2E"/>
          <w:sz w:val="23"/>
          <w:szCs w:val="23"/>
        </w:rPr>
        <w:t xml:space="preserve">제17조 (기타)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① 본 계약에 명시되지 아니한 사항은 상법, 민법 및 관계 법령에 따른다.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② 본 계약의 법률 및 세무상 처리 방식은 향후 전문가 검토 결과에 따라 변경될 수 있으며, 영업자는 변경 사항을 사전에 통보한다.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③ 관련 법령, 규제, 거래소 정책 변경 시 영업자는 계약 구조, 출금 조건, 수수료 등을 변경하거나 계약을 종료할 수 있다.</w:t>
      </w:r>
    </w:p>
    <w:p>
      <w:pPr>
        <w:spacing w:after="55" w:before="55" w:line="360"/>
      </w:pPr>
      <w:r>
        <w:rPr>
          <w:rFonts w:ascii="맑은 고딕" w:cs="맑은 고딕" w:eastAsia="맑은 고딕" w:hAnsi="맑은 고딕"/>
          <w:color w:val="2D2D2D"/>
          <w:sz w:val="20"/>
          <w:szCs w:val="20"/>
        </w:rPr>
        <w:t xml:space="preserve">④ 본 계약은 2부를 작성하여 각 당사자가 1부씩 보관한다.</w:t>
      </w:r>
    </w:p>
    <w:p>
      <w:pPr>
        <w:spacing w:after="0" w:before="0" w:line="340"/>
      </w:pPr>
      <w:r>
        <w:br/>
      </w:r>
    </w:p>
    <w:p>
      <w:pPr>
        <w:pBdr>
          <w:bottom w:val="single" w:color="CCCCCC" w:sz="3" w:space="2"/>
        </w:pBdr>
        <w:spacing w:after="0" w:before="0" w:line="340"/>
      </w:pPr>
    </w:p>
    <w:p>
      <w:pPr>
        <w:spacing w:after="0" w:before="200"/>
      </w:pPr>
    </w:p>
    <w:p>
      <w:pPr>
        <w:keepNext/>
        <w:spacing w:after="200" w:before="60" w:line="340"/>
        <w:jc w:val="center"/>
      </w:pPr>
      <w:r>
        <w:rPr>
          <w:rFonts w:ascii="맑은 고딕" w:cs="맑은 고딕" w:eastAsia="맑은 고딕" w:hAnsi="맑은 고딕"/>
          <w:color w:val="2D2D2D"/>
          <w:sz w:val="22"/>
          <w:szCs w:val="22"/>
        </w:rPr>
        <w:t xml:space="preserve">20____년   ____월   ____일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rPr>
          <w:cantSplit/>
        </w:trPr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tcMar>
              <w:top w:type="dxa" w:w="160"/>
              <w:left w:type="dxa" w:w="200"/>
              <w:bottom w:type="dxa" w:w="200"/>
              <w:right w:type="dxa" w:w="200"/>
            </w:tcMar>
          </w:tcPr>
          <w:p>
            <w:pPr>
              <w:keepLines/>
              <w:spacing w:after="5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영업자 (갑)</w:t>
            </w:r>
          </w:p>
          <w:p>
            <w:pPr>
              <w:keepLines/>
              <w:spacing w:after="50" w:before="5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이정민</w:t>
            </w:r>
          </w:p>
          <w:p>
            <w:pPr>
              <w:keepLines/>
              <w:spacing w:after="50" w:before="5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서명: __________________________ (인)</w:t>
            </w:r>
          </w:p>
          <w:p>
            <w:pPr>
              <w:keepLines/>
              <w:spacing w:after="50" w:before="5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/>
            </w:r>
          </w:p>
          <w:p>
            <w:pPr>
              <w:keepLines/>
              <w:spacing w:after="50" w:before="5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장재혁</w:t>
            </w:r>
          </w:p>
          <w:p>
            <w:pPr>
              <w:keepLines/>
              <w:spacing w:after="50" w:before="5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서명: __________________________ (인)</w:t>
            </w:r>
          </w:p>
        </w:tc>
        <w:tc>
          <w:tcPr>
            <w:tcW w:type="dxa" w:w="4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tcMar>
              <w:top w:type="dxa" w:w="160"/>
              <w:left w:type="dxa" w:w="200"/>
              <w:bottom w:type="dxa" w:w="200"/>
              <w:right w:type="dxa" w:w="200"/>
            </w:tcMar>
          </w:tcPr>
          <w:p>
            <w:pPr>
              <w:keepLines/>
              <w:spacing w:after="5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20"/>
                <w:szCs w:val="20"/>
              </w:rPr>
              <w:t xml:space="preserve">익명조합원 (을)</w:t>
            </w:r>
          </w:p>
          <w:p>
            <w:pPr>
              <w:keepLines/>
              <w:spacing w:after="50" w:before="5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성명: ___________________________</w:t>
            </w:r>
          </w:p>
          <w:p>
            <w:pPr>
              <w:keepLines/>
              <w:spacing w:after="50" w:before="5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생년월일: _______________________</w:t>
            </w:r>
          </w:p>
          <w:p>
            <w:pPr>
              <w:keepLines/>
              <w:spacing w:after="50" w:before="5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연락처: _________________________</w:t>
            </w:r>
          </w:p>
          <w:p>
            <w:pPr>
              <w:keepLines/>
              <w:spacing w:after="50" w:before="5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지갑 주소: 0x______________________</w:t>
            </w:r>
          </w:p>
          <w:p>
            <w:pPr>
              <w:keepLines/>
              <w:spacing w:after="50" w:before="50" w:line="3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D2D"/>
                <w:sz w:val="19"/>
                <w:szCs w:val="19"/>
              </w:rPr>
              <w:t xml:space="preserve">서명: __________________________ (인)</w:t>
            </w:r>
          </w:p>
        </w:tc>
      </w:tr>
    </w:tbl>
    <w:p>
      <w:pPr>
        <w:spacing w:after="0" w:before="280"/>
      </w:pPr>
    </w:p>
    <w:p>
      <w:pPr>
        <w:pBdr>
          <w:top w:val="single" w:color="CCCCCC" w:sz="2" w:space="4"/>
        </w:pBdr>
        <w:spacing w:after="40" w:before="80" w:line="340"/>
        <w:jc w:val="center"/>
      </w:pPr>
      <w:r>
        <w:rPr>
          <w:rFonts w:ascii="맑은 고딕" w:cs="맑은 고딕" w:eastAsia="맑은 고딕" w:hAnsi="맑은 고딕"/>
          <w:color w:val="999999"/>
          <w:sz w:val="17"/>
          <w:szCs w:val="17"/>
        </w:rPr>
        <w:t xml:space="preserve">본 계약은 비공개·소수(10인 이하) 익명조합원을 대상으로 하며, 불특정 다수를 대상으로 한 공개 모집이 아닙니다.</w:t>
      </w:r>
    </w:p>
    <w:p>
      <w:pPr>
        <w:spacing w:after="0" w:before="0" w:line="340"/>
        <w:jc w:val="center"/>
      </w:pPr>
      <w:r>
        <w:rPr>
          <w:rFonts w:ascii="맑은 고딕" w:cs="맑은 고딕" w:eastAsia="맑은 고딕" w:hAnsi="맑은 고딕"/>
          <w:color w:val="999999"/>
          <w:sz w:val="17"/>
          <w:szCs w:val="17"/>
        </w:rPr>
        <w:t xml:space="preserve">원금 및 수익 미보장 ·  비공개 ·  소수(10인 이하) ·  상법 익명조합 기반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2026-06-08T08:11:08.845Z</dcterms:created>
  <dcterms:modified xsi:type="dcterms:W3CDTF">2026-06-08T08:11:08.845Z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