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tcBorders>
              <w:top w:val="none"/>
              <w:left w:val="none"/>
              <w:bottom w:val="none"/>
              <w:right w:val="none"/>
            </w:tcBorders>
          </w:tcPr>
          <w:p>
            <w:pPr>
              <w:spacing w:line="240" w:lineRule="auto" w:after="0"/>
              <w:jc w:val="center"/>
            </w:pPr>
            <w:r>
              <w:rPr>
                <w:rFonts w:ascii="Times New Roman" w:hAnsi="Times New Roman"/>
                <w:b/>
                <w:sz w:val="32"/>
              </w:rPr>
              <w:t>MEZZARIA</w:t>
            </w:r>
          </w:p>
          <w:p>
            <w:pPr>
              <w:spacing w:line="240" w:lineRule="auto" w:after="0"/>
              <w:jc w:val="center"/>
            </w:pPr>
            <w:r>
              <w:rPr>
                <w:rFonts w:ascii="Times New Roman" w:hAnsi="Times New Roman"/>
                <w:b/>
                <w:sz w:val="28"/>
              </w:rPr>
              <w:t>MEZZARIA FLAT BUYERS' WELFARE ASSOCIATION</w:t>
            </w:r>
          </w:p>
          <w:p>
            <w:pPr>
              <w:spacing w:line="240" w:lineRule="auto" w:after="0"/>
              <w:jc w:val="center"/>
            </w:pPr>
            <w:r>
              <w:rPr>
                <w:rFonts w:ascii="Times New Roman" w:hAnsi="Times New Roman"/>
                <w:sz w:val="20"/>
              </w:rPr>
              <w:t>E-611, First Floor, Greater Kailash Part - II, New Delhi –110048</w:t>
            </w:r>
          </w:p>
        </w:tc>
      </w:tr>
    </w:tbl>
    <w:p>
      <w:pPr>
        <w:spacing w:line="240" w:lineRule="auto" w:after="0"/>
        <w:jc w:val="right"/>
      </w:pPr>
      <w:r>
        <w:rPr>
          <w:rFonts w:ascii="Times New Roman" w:hAnsi="Times New Roman"/>
          <w:sz w:val="20"/>
        </w:rPr>
        <w:t>e-Mail: mezzariafbwa@gmail.com</w:t>
      </w:r>
    </w:p>
    <w:p>
      <w:pPr>
        <w:spacing w:line="240" w:lineRule="auto" w:after="0"/>
        <w:jc w:val="right"/>
      </w:pPr>
      <w:r>
        <w:rPr>
          <w:rFonts w:ascii="Times New Roman" w:hAnsi="Times New Roman"/>
          <w:sz w:val="20"/>
        </w:rPr>
        <w:t>Web Site: http://www.mezzaria.org</w:t>
      </w:r>
    </w:p>
    <w:p>
      <w:pPr>
        <w:spacing w:line="240" w:lineRule="auto" w:after="240"/>
      </w:pPr>
    </w:p>
    <w:p>
      <w:pPr>
        <w:spacing w:line="360" w:lineRule="auto" w:after="120"/>
      </w:pPr>
      <w:r>
        <w:rPr>
          <w:rFonts w:ascii="Times New Roman" w:hAnsi="Times New Roman"/>
          <w:sz w:val="24"/>
        </w:rPr>
        <w:t>Date: 3rd July 2025</w:t>
      </w:r>
    </w:p>
    <w:p>
      <w:pPr>
        <w:spacing w:line="288" w:lineRule="auto" w:after="40"/>
      </w:pPr>
      <w:r>
        <w:rPr>
          <w:rFonts w:ascii="Times New Roman" w:hAnsi="Times New Roman"/>
          <w:sz w:val="24"/>
        </w:rPr>
        <w:t>To:</w:t>
      </w:r>
    </w:p>
    <w:p>
      <w:pPr>
        <w:spacing w:line="288" w:lineRule="auto" w:after="20"/>
        <w:ind w:left="720"/>
      </w:pPr>
      <w:r>
        <w:rPr>
          <w:rFonts w:ascii="Times New Roman" w:hAnsi="Times New Roman"/>
          <w:sz w:val="24"/>
        </w:rPr>
        <w:t>Mr. Amit Jain</w:t>
      </w:r>
    </w:p>
    <w:p>
      <w:pPr>
        <w:spacing w:line="288" w:lineRule="auto" w:after="20"/>
        <w:ind w:left="720"/>
      </w:pPr>
      <w:r>
        <w:rPr>
          <w:rFonts w:ascii="Times New Roman" w:hAnsi="Times New Roman"/>
          <w:sz w:val="24"/>
        </w:rPr>
        <w:t>Director</w:t>
      </w:r>
    </w:p>
    <w:p>
      <w:pPr>
        <w:spacing w:line="288" w:lineRule="auto" w:after="20"/>
        <w:ind w:left="720"/>
      </w:pPr>
      <w:r>
        <w:rPr>
          <w:rFonts w:ascii="Times New Roman" w:hAnsi="Times New Roman"/>
          <w:sz w:val="24"/>
        </w:rPr>
        <w:t>Mahagun India Pvt. Ltd.</w:t>
      </w:r>
    </w:p>
    <w:p>
      <w:pPr>
        <w:spacing w:line="360" w:lineRule="auto" w:after="120"/>
      </w:pPr>
      <w:r>
        <w:rPr>
          <w:rFonts w:ascii="Times New Roman" w:hAnsi="Times New Roman"/>
          <w:b/>
          <w:sz w:val="24"/>
        </w:rPr>
        <w:t>Subject: Urgent Submission of Pending Compliance Documents – Mahagun Mezzaria Project</w:t>
      </w:r>
    </w:p>
    <w:p>
      <w:pPr>
        <w:spacing w:line="360" w:lineRule="auto" w:after="120"/>
      </w:pPr>
      <w:r>
        <w:rPr>
          <w:rFonts w:ascii="Times New Roman" w:hAnsi="Times New Roman"/>
          <w:sz w:val="24"/>
        </w:rPr>
        <w:t>Dear Mr. Jain,</w:t>
      </w:r>
    </w:p>
    <w:p>
      <w:pPr>
        <w:spacing w:line="360" w:lineRule="auto" w:after="120"/>
      </w:pPr>
      <w:r>
        <w:rPr>
          <w:rFonts w:ascii="Times New Roman" w:hAnsi="Times New Roman"/>
          <w:sz w:val="24"/>
        </w:rPr>
        <w:t>We write on behalf of the Mezzaria Flat Buyers Welfare Association to formally draw your attention to several pending compliance documents that remain outstanding in respect of the Mahagun Mezzaria project, as confirmed by GM Planning, Noida Authority, on 2nd July 2025.</w:t>
      </w:r>
    </w:p>
    <w:p>
      <w:pPr>
        <w:spacing w:line="360" w:lineRule="auto" w:after="80"/>
        <w:ind w:left="0"/>
      </w:pPr>
      <w:r>
        <w:rPr>
          <w:rFonts w:ascii="Times New Roman" w:hAnsi="Times New Roman"/>
          <w:b/>
          <w:sz w:val="24"/>
        </w:rPr>
        <w:t>1. Revised CTE &amp; CTO - Consent to Operate and Establish</w:t>
      </w:r>
    </w:p>
    <w:p>
      <w:pPr>
        <w:spacing w:line="360" w:lineRule="auto" w:after="80"/>
        <w:ind w:left="0"/>
      </w:pPr>
      <w:r>
        <w:rPr>
          <w:rFonts w:ascii="Times New Roman" w:hAnsi="Times New Roman"/>
          <w:b/>
          <w:sz w:val="24"/>
        </w:rPr>
        <w:t>2. DOD Copy - Deed of Declaration (missing)</w:t>
      </w:r>
    </w:p>
    <w:p>
      <w:pPr>
        <w:spacing w:line="360" w:lineRule="auto" w:after="80"/>
        <w:ind w:left="0"/>
      </w:pPr>
      <w:r>
        <w:rPr>
          <w:rFonts w:ascii="Times New Roman" w:hAnsi="Times New Roman"/>
          <w:b/>
          <w:sz w:val="24"/>
        </w:rPr>
        <w:t>3. Buyers' Consent Letter - Required under Apartment Act 2010</w:t>
      </w:r>
    </w:p>
    <w:p>
      <w:pPr>
        <w:spacing w:line="360" w:lineRule="auto" w:after="80"/>
        <w:ind w:left="0"/>
      </w:pPr>
      <w:r>
        <w:rPr>
          <w:rFonts w:ascii="Times New Roman" w:hAnsi="Times New Roman"/>
          <w:b/>
          <w:sz w:val="24"/>
        </w:rPr>
        <w:t>4. Final Green Building Certificate - Not received</w:t>
      </w:r>
    </w:p>
    <w:p>
      <w:pPr>
        <w:spacing w:line="360" w:lineRule="auto" w:after="80"/>
        <w:ind w:left="0"/>
      </w:pPr>
      <w:r>
        <w:rPr>
          <w:rFonts w:ascii="Times New Roman" w:hAnsi="Times New Roman"/>
          <w:b/>
          <w:sz w:val="24"/>
        </w:rPr>
        <w:t>5. Time Extension Letter - Pending</w:t>
      </w:r>
    </w:p>
    <w:p>
      <w:pPr>
        <w:spacing w:line="360" w:lineRule="auto" w:after="80"/>
        <w:ind w:left="0"/>
      </w:pPr>
      <w:r>
        <w:rPr>
          <w:rFonts w:ascii="Times New Roman" w:hAnsi="Times New Roman"/>
          <w:b/>
          <w:sz w:val="24"/>
        </w:rPr>
        <w:t>6. Labour Cess Details - Challan and Registration not provided</w:t>
      </w:r>
    </w:p>
    <w:p>
      <w:pPr>
        <w:spacing w:line="360" w:lineRule="auto" w:after="80"/>
        <w:ind w:left="0"/>
      </w:pPr>
      <w:r>
        <w:rPr>
          <w:rFonts w:ascii="Times New Roman" w:hAnsi="Times New Roman"/>
          <w:b/>
          <w:sz w:val="24"/>
        </w:rPr>
        <w:t>7. Structural Audit Report - Not submitted</w:t>
      </w:r>
    </w:p>
    <w:p>
      <w:pPr>
        <w:spacing w:line="360" w:lineRule="auto" w:after="120"/>
      </w:pPr>
      <w:r>
        <w:rPr>
          <w:rFonts w:ascii="Times New Roman" w:hAnsi="Times New Roman"/>
          <w:sz w:val="24"/>
        </w:rPr>
        <w:t>It is imperative that all outstanding documents be furnished promptly and that payment commitments are met as part of your assurance to obtain the Occupancy Certificate (OC) for Towers T2 and T3.</w:t>
      </w:r>
    </w:p>
    <w:p>
      <w:pPr>
        <w:spacing w:line="360" w:lineRule="auto" w:after="120"/>
      </w:pPr>
      <w:r>
        <w:rPr>
          <w:rFonts w:ascii="Times New Roman" w:hAnsi="Times New Roman"/>
          <w:sz w:val="24"/>
        </w:rPr>
        <w:t>We appreciate your cooperation and look forward to swift action.</w:t>
      </w:r>
    </w:p>
    <w:p>
      <w:pPr>
        <w:spacing w:line="240" w:lineRule="auto" w:after="240"/>
      </w:pPr>
    </w:p>
    <w:tbl>
      <w:tblPr>
        <w:tblW w:type="auto" w:w="0"/>
        <w:jc w:val="center"/>
        <w:tblLook w:firstColumn="1" w:firstRow="1" w:lastColumn="0" w:lastRow="0" w:noHBand="0" w:noVBand="1" w:val="04A0"/>
      </w:tblPr>
      <w:tblGrid>
        <w:gridCol w:w="4680"/>
        <w:gridCol w:w="4680"/>
      </w:tblGrid>
      <w:tr>
        <w:tc>
          <w:tcPr>
            <w:tcW w:type="dxa" w:w="4680"/>
            <w:tcBorders>
              <w:top w:val="none"/>
              <w:left w:val="none"/>
              <w:bottom w:val="none"/>
              <w:right w:val="none"/>
            </w:tcBorders>
          </w:tcPr>
          <w:p>
            <w:r/>
            <w:r>
              <w:rPr>
                <w:rFonts w:ascii="Times New Roman" w:hAnsi="Times New Roman"/>
                <w:b/>
                <w:sz w:val="24"/>
              </w:rPr>
              <w:t xml:space="preserve"> Gurudeo Sinha</w:t>
            </w:r>
          </w:p>
        </w:tc>
        <w:tc>
          <w:tcPr>
            <w:tcW w:type="dxa" w:w="4680"/>
            <w:tcBorders>
              <w:top w:val="none"/>
              <w:left w:val="none"/>
              <w:bottom w:val="none"/>
              <w:right w:val="none"/>
            </w:tcBorders>
          </w:tcPr>
          <w:p>
            <w:r/>
            <w:r>
              <w:rPr>
                <w:rFonts w:ascii="Times New Roman" w:hAnsi="Times New Roman"/>
                <w:b/>
                <w:sz w:val="24"/>
              </w:rPr>
              <w:t xml:space="preserve"> Suneal Kumar Singhal</w:t>
            </w:r>
          </w:p>
        </w:tc>
      </w:tr>
      <w:tr>
        <w:tc>
          <w:tcPr>
            <w:tcW w:type="dxa" w:w="4680"/>
            <w:tcBorders>
              <w:top w:val="none"/>
              <w:left w:val="none"/>
              <w:bottom w:val="none"/>
              <w:right w:val="none"/>
            </w:tcBorders>
          </w:tcPr>
          <w:p>
            <w:r/>
            <w:r>
              <w:rPr>
                <w:rFonts w:ascii="Times New Roman" w:hAnsi="Times New Roman"/>
                <w:sz w:val="24"/>
              </w:rPr>
              <w:t xml:space="preserve"> President</w:t>
            </w:r>
          </w:p>
        </w:tc>
        <w:tc>
          <w:tcPr>
            <w:tcW w:type="dxa" w:w="4680"/>
            <w:tcBorders>
              <w:top w:val="none"/>
              <w:left w:val="none"/>
              <w:bottom w:val="none"/>
              <w:right w:val="none"/>
            </w:tcBorders>
          </w:tcPr>
          <w:p>
            <w:r/>
            <w:r>
              <w:rPr>
                <w:rFonts w:ascii="Times New Roman" w:hAnsi="Times New Roman"/>
                <w:sz w:val="24"/>
              </w:rPr>
              <w:t xml:space="preserve"> Secretary</w:t>
            </w:r>
          </w:p>
        </w:tc>
      </w:tr>
      <w:tr>
        <w:tc>
          <w:tcPr>
            <w:tcW w:type="dxa" w:w="4680"/>
            <w:tcBorders>
              <w:top w:val="none"/>
              <w:left w:val="none"/>
              <w:bottom w:val="none"/>
              <w:right w:val="none"/>
            </w:tcBorders>
          </w:tcPr>
          <w:p>
            <w:r/>
            <w:r>
              <w:rPr>
                <w:rFonts w:ascii="Times New Roman" w:hAnsi="Times New Roman"/>
                <w:sz w:val="24"/>
              </w:rPr>
              <w:t xml:space="preserve"> Mobile: 7678638524</w:t>
            </w:r>
          </w:p>
        </w:tc>
        <w:tc>
          <w:tcPr>
            <w:tcW w:type="dxa" w:w="4680"/>
            <w:tcBorders>
              <w:top w:val="none"/>
              <w:left w:val="none"/>
              <w:bottom w:val="none"/>
              <w:right w:val="none"/>
            </w:tcBorders>
          </w:tcPr>
          <w:p>
            <w:r/>
            <w:r>
              <w:rPr>
                <w:rFonts w:ascii="Times New Roman" w:hAnsi="Times New Roman"/>
                <w:sz w:val="24"/>
              </w:rPr>
              <w:t xml:space="preserve"> Mobile: 9811428209</w:t>
            </w:r>
          </w:p>
        </w:tc>
      </w:tr>
      <w:tr>
        <w:tc>
          <w:tcPr>
            <w:tcW w:type="dxa" w:w="4680"/>
            <w:tcBorders>
              <w:top w:val="none"/>
              <w:left w:val="none"/>
              <w:bottom w:val="none"/>
              <w:right w:val="none"/>
            </w:tcBorders>
          </w:tcPr>
          <w:p/>
        </w:tc>
        <w:tc>
          <w:tcPr>
            <w:tcW w:type="dxa" w:w="4680"/>
            <w:tcBorders>
              <w:top w:val="none"/>
              <w:left w:val="none"/>
              <w:bottom w:val="none"/>
              <w:right w:val="none"/>
            </w:tcBorders>
          </w:tcPr>
          <w:p/>
        </w:tc>
      </w:tr>
    </w:tbl>
    <w:p>
      <w:pPr>
        <w:spacing w:line="288" w:lineRule="auto" w:after="40"/>
        <w:jc w:val="center"/>
      </w:pPr>
      <w:r>
        <w:rPr>
          <w:rFonts w:ascii="Times New Roman" w:hAnsi="Times New Roman"/>
          <w:sz w:val="20"/>
        </w:rPr>
        <w:br/>
        <w:t>On behalf of MEZZARIA FLAT BUYERS' WELFARE ASSOCIATION</w:t>
      </w:r>
    </w:p>
    <w:p>
      <w:pPr>
        <w:spacing w:line="288" w:lineRule="auto" w:after="40"/>
        <w:jc w:val="center"/>
      </w:pPr>
      <w:r>
        <w:rPr>
          <w:rFonts w:ascii="Times New Roman" w:hAnsi="Times New Roman"/>
          <w:sz w:val="20"/>
        </w:rPr>
        <w:t>Email: mezzariafbwa@gmail.com</w:t>
      </w:r>
    </w:p>
    <w:p>
      <w:pPr>
        <w:spacing w:line="288" w:lineRule="auto" w:after="120"/>
        <w:jc w:val="center"/>
      </w:pPr>
      <w:r>
        <w:rPr>
          <w:rFonts w:ascii="Times New Roman" w:hAnsi="Times New Roman"/>
          <w:sz w:val="20"/>
        </w:rPr>
        <w:t>Regn. No. S-E / 1367 /Distt. South East/2018</w:t>
      </w:r>
    </w:p>
    <w:p>
      <w:pPr>
        <w:jc w:val="right"/>
      </w:pPr>
      <w:r>
        <w:fldChar w:fldCharType="begin"/>
        <w:instrText>PAGE</w:instrText>
        <w:fldChar w:fldCharType="separate"/>
        <w:fldChar w:fldCharType="end"/>
      </w:r>
      <w:r>
        <w:t xml:space="preserve"> / </w:t>
        <w:fldChar w:fldCharType="begin"/>
        <w:instrText>NUMPAGES</w:instrText>
        <w:fldChar w:fldCharType="separate"/>
        <w:fldChar w:fldCharType="end"/>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