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996F9">
      <w:pPr>
        <w:spacing w:before="80" w:after="80"/>
        <w:jc w:val="center"/>
      </w:pPr>
      <w:r>
        <w:rPr>
          <w:rFonts w:ascii="Arial" w:hAnsi="Arial" w:eastAsia="Arial" w:cs="Arial"/>
          <w:b/>
          <w:bCs/>
          <w:color w:val="000000"/>
          <w:sz w:val="32"/>
          <w:szCs w:val="32"/>
        </w:rPr>
        <w:t>MEMORIA DEL PROYECTO</w:t>
      </w:r>
    </w:p>
    <w:p w14:paraId="1856C44B">
      <w:pPr>
        <w:spacing w:before="80" w:after="80"/>
      </w:pPr>
    </w:p>
    <w:tbl>
      <w:tblPr>
        <w:tblStyle w:val="9"/>
        <w:tblW w:w="10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340"/>
        <w:gridCol w:w="7880"/>
      </w:tblGrid>
      <w:tr w14:paraId="372B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F9EABFF">
            <w:pPr>
              <w:jc w:val="left"/>
            </w:pPr>
            <w:r>
              <w:rPr>
                <w:rFonts w:ascii="Arial" w:hAnsi="Arial" w:eastAsia="Arial" w:cs="Arial"/>
                <w:b/>
                <w:bCs/>
                <w:color w:val="000000"/>
                <w:sz w:val="22"/>
                <w:szCs w:val="22"/>
              </w:rPr>
              <w:t>Nombre corto:</w:t>
            </w:r>
          </w:p>
        </w:tc>
        <w:tc>
          <w:tcPr>
            <w:tcW w:w="78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50D9AF6">
            <w:pPr>
              <w:jc w:val="left"/>
              <w:rPr>
                <w:rFonts w:hint="default"/>
                <w:lang w:val="es-MX"/>
              </w:rPr>
            </w:pPr>
            <w:r>
              <w:rPr>
                <w:rFonts w:ascii="Arial" w:hAnsi="Arial" w:eastAsia="Arial" w:cs="Arial"/>
                <w:b/>
                <w:bCs/>
                <w:color w:val="000000"/>
                <w:sz w:val="22"/>
                <w:szCs w:val="22"/>
              </w:rPr>
              <w:t>Gluco</w:t>
            </w:r>
            <w:r>
              <w:rPr>
                <w:rFonts w:hint="default" w:cs="Arial"/>
                <w:b/>
                <w:bCs/>
                <w:color w:val="000000"/>
                <w:sz w:val="22"/>
                <w:szCs w:val="22"/>
                <w:lang w:val="es-MX"/>
              </w:rPr>
              <w:t>Gen</w:t>
            </w:r>
          </w:p>
        </w:tc>
      </w:tr>
      <w:tr w14:paraId="643E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48402A5">
            <w:pPr>
              <w:jc w:val="left"/>
            </w:pPr>
            <w:r>
              <w:rPr>
                <w:rFonts w:ascii="Arial" w:hAnsi="Arial" w:eastAsia="Arial" w:cs="Arial"/>
                <w:b/>
                <w:bCs/>
                <w:color w:val="FFFFFF"/>
                <w:sz w:val="22"/>
                <w:szCs w:val="22"/>
              </w:rPr>
              <w:t>Nombre descriptivo:</w:t>
            </w:r>
          </w:p>
        </w:tc>
        <w:tc>
          <w:tcPr>
            <w:tcW w:w="78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3DEF379">
            <w:pPr>
              <w:jc w:val="left"/>
            </w:pPr>
            <w:r>
              <w:rPr>
                <w:rFonts w:hint="default" w:ascii="Arial" w:hAnsi="Arial" w:eastAsia="SimSun" w:cs="Arial"/>
                <w:sz w:val="22"/>
                <w:szCs w:val="22"/>
              </w:rPr>
              <w:t>Asistente inteligente de apoyo al automonitoreo glucémico con registro multimodal (Voz/OCR) y visualización de tendencias preventivas.</w:t>
            </w:r>
          </w:p>
        </w:tc>
      </w:tr>
      <w:tr w14:paraId="1104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AA63C55">
            <w:pPr>
              <w:jc w:val="left"/>
            </w:pPr>
            <w:r>
              <w:rPr>
                <w:rFonts w:ascii="Arial" w:hAnsi="Arial" w:eastAsia="Arial" w:cs="Arial"/>
                <w:b/>
                <w:bCs/>
                <w:color w:val="000000"/>
                <w:sz w:val="22"/>
                <w:szCs w:val="22"/>
              </w:rPr>
              <w:t>Categoria:</w:t>
            </w:r>
          </w:p>
        </w:tc>
        <w:tc>
          <w:tcPr>
            <w:tcW w:w="78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3593632">
            <w:pPr>
              <w:jc w:val="left"/>
            </w:pPr>
            <w:r>
              <w:rPr>
                <w:rFonts w:ascii="Arial" w:hAnsi="Arial" w:eastAsia="Arial" w:cs="Arial"/>
                <w:b w:val="0"/>
                <w:bCs w:val="0"/>
                <w:color w:val="000000"/>
                <w:sz w:val="22"/>
                <w:szCs w:val="22"/>
              </w:rPr>
              <w:t>Servicios para la Salud Humana</w:t>
            </w:r>
          </w:p>
        </w:tc>
      </w:tr>
      <w:tr w14:paraId="0E3D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7A1F05C">
            <w:pPr>
              <w:jc w:val="left"/>
            </w:pPr>
            <w:r>
              <w:rPr>
                <w:rFonts w:ascii="Arial" w:hAnsi="Arial" w:eastAsia="Arial" w:cs="Arial"/>
                <w:b/>
                <w:bCs/>
                <w:color w:val="auto"/>
                <w:sz w:val="22"/>
                <w:szCs w:val="22"/>
              </w:rPr>
              <w:t>Area de aplicacion:</w:t>
            </w:r>
          </w:p>
        </w:tc>
        <w:tc>
          <w:tcPr>
            <w:tcW w:w="78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6E62052">
            <w:pPr>
              <w:jc w:val="left"/>
            </w:pPr>
            <w:r>
              <w:rPr>
                <w:rFonts w:ascii="Arial" w:hAnsi="Arial" w:eastAsia="Arial" w:cs="Arial"/>
                <w:b w:val="0"/>
                <w:bCs w:val="0"/>
                <w:color w:val="000000"/>
                <w:sz w:val="22"/>
                <w:szCs w:val="22"/>
              </w:rPr>
              <w:t>Innovacion en la Atencion al Paciente / Software Inteligente</w:t>
            </w:r>
          </w:p>
        </w:tc>
      </w:tr>
      <w:tr w14:paraId="49F5D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DCFB979">
            <w:pPr>
              <w:jc w:val="left"/>
            </w:pPr>
            <w:r>
              <w:rPr>
                <w:rFonts w:ascii="Arial" w:hAnsi="Arial" w:eastAsia="Arial" w:cs="Arial"/>
                <w:b/>
                <w:bCs/>
                <w:color w:val="000000"/>
                <w:sz w:val="22"/>
                <w:szCs w:val="22"/>
              </w:rPr>
              <w:t>Naturaleza tecnica:</w:t>
            </w:r>
          </w:p>
        </w:tc>
        <w:tc>
          <w:tcPr>
            <w:tcW w:w="78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E392410">
            <w:pPr>
              <w:jc w:val="left"/>
            </w:pPr>
            <w:r>
              <w:rPr>
                <w:rFonts w:ascii="Arial" w:hAnsi="Arial" w:eastAsia="Arial" w:cs="Arial"/>
                <w:b w:val="0"/>
                <w:bCs w:val="0"/>
                <w:color w:val="000000"/>
                <w:sz w:val="22"/>
                <w:szCs w:val="22"/>
              </w:rPr>
              <w:t>Ciencias Computacionales / Inteligencia Artificial Aplicada</w:t>
            </w:r>
          </w:p>
        </w:tc>
      </w:tr>
    </w:tbl>
    <w:p w14:paraId="5091BB08">
      <w:pPr>
        <w:spacing w:before="80" w:after="80"/>
      </w:pPr>
    </w:p>
    <w:p w14:paraId="6875BAD2">
      <w:pPr>
        <w:spacing w:before="80" w:after="80"/>
      </w:pPr>
    </w:p>
    <w:tbl>
      <w:tblPr>
        <w:tblStyle w:val="9"/>
        <w:tblW w:w="102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11"/>
      </w:tblGrid>
      <w:tr w14:paraId="11EA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11"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3F1DBC0D">
            <w:pPr>
              <w:jc w:val="center"/>
            </w:pPr>
            <w:r>
              <w:rPr>
                <w:rFonts w:ascii="Arial" w:hAnsi="Arial" w:eastAsia="Arial" w:cs="Arial"/>
                <w:b/>
                <w:bCs/>
                <w:color w:val="000000" w:themeColor="text1"/>
                <w:sz w:val="22"/>
                <w:szCs w:val="22"/>
                <w:shd w:val="clear" w:fill="EEECE1" w:themeFill="background2"/>
                <w14:textFill>
                  <w14:solidFill>
                    <w14:schemeClr w14:val="tx1"/>
                  </w14:solidFill>
                </w14:textFill>
              </w:rPr>
              <w:t>EL. SSH.  Descripcion de la problematica u oportunidad de negocio</w:t>
            </w:r>
          </w:p>
        </w:tc>
      </w:tr>
    </w:tbl>
    <w:p w14:paraId="7A5851A8">
      <w:pPr>
        <w:spacing w:before="40" w:after="40"/>
      </w:pPr>
    </w:p>
    <w:p w14:paraId="004C164F">
      <w:pPr>
        <w:spacing w:before="80" w:after="80"/>
        <w:jc w:val="both"/>
      </w:pPr>
      <w:r>
        <w:rPr>
          <w:rFonts w:ascii="Arial" w:hAnsi="Arial" w:eastAsia="Arial" w:cs="Arial"/>
          <w:b w:val="0"/>
          <w:bCs w:val="0"/>
          <w:color w:val="000000"/>
          <w:sz w:val="22"/>
          <w:szCs w:val="22"/>
        </w:rPr>
        <w:t>Mexico enfrenta una crisis silenciosa de diabetes mellitus de proporciones historicas. Segun la Encuesta Nacional de Salud y Nutricion 2022 (ENSANUT),</w:t>
      </w:r>
      <w:r>
        <w:rPr>
          <w:rFonts w:hint="default" w:ascii="Arial" w:hAnsi="Arial" w:eastAsia="SimSun" w:cs="Arial"/>
          <w:sz w:val="24"/>
          <w:szCs w:val="24"/>
        </w:rPr>
        <w:t xml:space="preserve">La principal barrera es la "fricción" en el seguimiento: los métodos actuales dependen de registros manuales tediosos que suelen abandonarse. Existe una oportunidad crítica para una herramienta que reduzca el esfuerzo de captura de datos y proporcione una capa </w:t>
      </w:r>
      <w:r>
        <w:rPr>
          <w:rFonts w:hint="default" w:ascii="Arial" w:hAnsi="Arial" w:eastAsia="SimSun" w:cs="Arial"/>
          <w:b/>
          <w:bCs/>
          <w:sz w:val="24"/>
          <w:szCs w:val="24"/>
        </w:rPr>
        <w:t>educativa de visualización</w:t>
      </w:r>
      <w:r>
        <w:rPr>
          <w:rFonts w:hint="default" w:ascii="Arial" w:hAnsi="Arial" w:eastAsia="SimSun" w:cs="Arial"/>
          <w:sz w:val="24"/>
          <w:szCs w:val="24"/>
        </w:rPr>
        <w:t xml:space="preserve"> sobre cómo la dieta local impacta las tendencias de bienestar, sin depender de conectividad a interne</w:t>
      </w:r>
      <w:r>
        <w:rPr>
          <w:rFonts w:hint="default" w:ascii="Arial" w:hAnsi="Arial" w:eastAsia="SimSun" w:cs="Arial"/>
          <w:sz w:val="24"/>
          <w:szCs w:val="24"/>
          <w:lang w:val="es-MX"/>
        </w:rPr>
        <w:t>t,</w:t>
      </w:r>
      <w:r>
        <w:rPr>
          <w:rFonts w:ascii="Arial" w:hAnsi="Arial" w:eastAsia="Arial" w:cs="Arial"/>
          <w:b w:val="0"/>
          <w:bCs w:val="0"/>
          <w:color w:val="000000"/>
          <w:sz w:val="22"/>
          <w:szCs w:val="22"/>
        </w:rPr>
        <w:t xml:space="preserve"> la prevalencia total de diabetes en adultos mexicanos es de 18.3%, lo que representa aproximadamente 14.6 millones de personas afectadas. De estas, casi una tercera parte (5.8%) desconocia su diagnostico al momento del estudio. Adicionalmente, el 22.1% de los adultos mexicanos presenta prediabetes, una condicion que progresa a diabetes en el 25% de los casos en un promedio de 3 a 5 anos.</w:t>
      </w:r>
    </w:p>
    <w:p w14:paraId="0EE90945">
      <w:pPr>
        <w:spacing w:before="80" w:after="80"/>
        <w:jc w:val="both"/>
      </w:pPr>
      <w:r>
        <w:rPr>
          <w:rFonts w:ascii="Arial" w:hAnsi="Arial" w:eastAsia="Arial" w:cs="Arial"/>
          <w:b w:val="0"/>
          <w:bCs w:val="0"/>
          <w:color w:val="000000"/>
          <w:sz w:val="22"/>
          <w:szCs w:val="22"/>
        </w:rPr>
        <w:t>El impacto economico es devastador para el sistema de salud publica nacional. En 2024, el Instituto Mexicano del Seguro Social (IMSS) destino 38,802 millones de pesos a la atencion de 3.7 millones de pacientes con diabetes, a un costo de 106 millones de pesos diarios, convirtiendo a la diabetes en la enfermedad mas costosa del sistema. En 2022, el IMSS gasto 50,619 millones de pesos por el mismo concepto. Para las familias, el gasto de bolsillo anual promedio por hogar con un paciente con diabetes tipo 2 se estima en 4,418.89 pesos, equivalente al 4.73% del ingreso familiar anual. En 2024, la diabetes fue responsable de 112,641 muertes en Mexico, con una tasa de 308 fallecimientos diarios.</w:t>
      </w:r>
    </w:p>
    <w:p w14:paraId="2E8895CB">
      <w:pPr>
        <w:spacing w:before="40" w:after="40"/>
      </w:pPr>
    </w:p>
    <w:p w14:paraId="52A7F600">
      <w:pPr>
        <w:spacing w:before="80" w:after="80"/>
        <w:jc w:val="both"/>
      </w:pPr>
      <w:r>
        <w:rPr>
          <w:rFonts w:ascii="Arial" w:hAnsi="Arial" w:eastAsia="Arial" w:cs="Arial"/>
          <w:b w:val="0"/>
          <w:bCs w:val="0"/>
          <w:color w:val="000000"/>
          <w:sz w:val="22"/>
          <w:szCs w:val="22"/>
        </w:rPr>
        <w:t>El control glucemico adecuado, definido como niveles de hemoglobina glucosilada (HbA1c) inferiores al 7%, solo se logra en el 33% de los pacientes con diagnostico previo segun la Ensanut Continua 2021-2024. Esta brecha de control representa la mayor oportunidad de intervencion tecnologica: si los pacientes pudieran anticipar las variaciones de glucosa, podrian tomar decisiones informadas en tiempo real sobre alimentacion, actividad fisica y medicacion.</w:t>
      </w:r>
    </w:p>
    <w:p w14:paraId="2D0E0686">
      <w:pPr>
        <w:spacing w:before="40" w:after="40"/>
      </w:pPr>
    </w:p>
    <w:p w14:paraId="45DD2AEF">
      <w:pPr>
        <w:spacing w:before="80" w:after="80"/>
        <w:jc w:val="both"/>
        <w:rPr>
          <w:rFonts w:ascii="Arial" w:hAnsi="Arial" w:eastAsia="Arial" w:cs="Arial"/>
          <w:b w:val="0"/>
          <w:bCs w:val="0"/>
          <w:color w:val="000000"/>
          <w:sz w:val="22"/>
          <w:szCs w:val="22"/>
        </w:rPr>
      </w:pPr>
      <w:r>
        <w:rPr>
          <w:rFonts w:ascii="Arial" w:hAnsi="Arial" w:eastAsia="Arial" w:cs="Arial"/>
          <w:b w:val="0"/>
          <w:bCs w:val="0"/>
          <w:color w:val="000000"/>
          <w:sz w:val="22"/>
          <w:szCs w:val="22"/>
        </w:rPr>
        <w:t>Los modelos actuales de atencion dependen de mediciones reactivas (glucometria puntual) y visitas medicas periodicas con frecuencia trimestral. No existen herramientas accesibles, en espa</w:t>
      </w:r>
      <w:r>
        <w:rPr>
          <w:rFonts w:hint="default" w:cs="Arial"/>
          <w:b w:val="0"/>
          <w:bCs w:val="0"/>
          <w:color w:val="000000"/>
          <w:sz w:val="22"/>
          <w:szCs w:val="22"/>
          <w:lang w:val="es-MX"/>
        </w:rPr>
        <w:t>ñ</w:t>
      </w:r>
      <w:r>
        <w:rPr>
          <w:rFonts w:ascii="Arial" w:hAnsi="Arial" w:eastAsia="Arial" w:cs="Arial"/>
          <w:b w:val="0"/>
          <w:bCs w:val="0"/>
          <w:color w:val="000000"/>
          <w:sz w:val="22"/>
          <w:szCs w:val="22"/>
        </w:rPr>
        <w:t>ol, sin conexion a internet, y adaptadas a la dieta mexicana, que permitan a un paciente anticipar el comportamiento de su glucosa en las proximas horas con base en lo que acaba de comer o su nivel de actividad. Esta brecha tecnologica es especialmente critica en adultos mayores, el grupo de mayor prevalencia, y en zonas con baja conectividad.</w:t>
      </w:r>
    </w:p>
    <w:p w14:paraId="68AE0AF7">
      <w:pPr>
        <w:spacing w:before="80" w:after="80"/>
      </w:pPr>
    </w:p>
    <w:tbl>
      <w:tblPr>
        <w:tblStyle w:val="9"/>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1"/>
      </w:tblGrid>
      <w:tr w14:paraId="4D3B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1"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12B733E5">
            <w:pPr>
              <w:jc w:val="center"/>
            </w:pPr>
            <w:r>
              <w:rPr>
                <w:rFonts w:ascii="Arial" w:hAnsi="Arial" w:eastAsia="Arial" w:cs="Arial"/>
                <w:b/>
                <w:bCs/>
                <w:color w:val="000000" w:themeColor="text1"/>
                <w:sz w:val="22"/>
                <w:szCs w:val="22"/>
                <w14:textFill>
                  <w14:solidFill>
                    <w14:schemeClr w14:val="tx1"/>
                  </w14:solidFill>
                </w14:textFill>
              </w:rPr>
              <w:t>EL. SSH.  Descripcion de la propuesta de valor</w:t>
            </w:r>
          </w:p>
        </w:tc>
      </w:tr>
    </w:tbl>
    <w:p w14:paraId="5318AD27">
      <w:pPr>
        <w:spacing w:before="40" w:after="40"/>
      </w:pPr>
    </w:p>
    <w:p w14:paraId="1B8D7AD1">
      <w:pPr>
        <w:pStyle w:val="15"/>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Arial" w:cs="Arial"/>
          <w:b w:val="0"/>
          <w:bCs w:val="0"/>
          <w:color w:val="000000"/>
          <w:sz w:val="24"/>
          <w:szCs w:val="24"/>
        </w:rPr>
        <w:t>Gluco</w:t>
      </w:r>
      <w:r>
        <w:rPr>
          <w:rFonts w:hint="default" w:ascii="Arial" w:hAnsi="Arial" w:cs="Arial"/>
          <w:b w:val="0"/>
          <w:bCs w:val="0"/>
          <w:color w:val="000000"/>
          <w:sz w:val="24"/>
          <w:szCs w:val="24"/>
          <w:lang w:val="es-MX"/>
        </w:rPr>
        <w:t>Gen</w:t>
      </w:r>
      <w:r>
        <w:rPr>
          <w:rFonts w:ascii="Arial" w:hAnsi="Arial" w:eastAsia="Arial" w:cs="Arial"/>
          <w:b w:val="0"/>
          <w:bCs w:val="0"/>
          <w:color w:val="000000"/>
          <w:sz w:val="24"/>
          <w:szCs w:val="24"/>
        </w:rPr>
        <w:t xml:space="preserve"> es </w:t>
      </w:r>
      <w:r>
        <w:rPr>
          <w:rFonts w:hint="default" w:ascii="Arial" w:hAnsi="Arial" w:eastAsia="Arial" w:cs="Arial"/>
          <w:b w:val="0"/>
          <w:bCs w:val="0"/>
          <w:color w:val="000000"/>
          <w:sz w:val="24"/>
          <w:szCs w:val="24"/>
          <w:lang w:val="es-MX"/>
        </w:rPr>
        <w:t xml:space="preserve">más que </w:t>
      </w:r>
      <w:r>
        <w:rPr>
          <w:rFonts w:ascii="Arial" w:hAnsi="Arial" w:eastAsia="Arial" w:cs="Arial"/>
          <w:b w:val="0"/>
          <w:bCs w:val="0"/>
          <w:color w:val="000000"/>
          <w:sz w:val="24"/>
          <w:szCs w:val="24"/>
        </w:rPr>
        <w:t xml:space="preserve">una aplicacion movil </w:t>
      </w:r>
      <w:r>
        <w:rPr>
          <w:rFonts w:hint="default" w:ascii="Arial" w:hAnsi="Arial" w:eastAsia="Arial" w:cs="Arial"/>
          <w:b w:val="0"/>
          <w:bCs w:val="0"/>
          <w:color w:val="000000"/>
          <w:sz w:val="24"/>
          <w:szCs w:val="24"/>
          <w:lang w:val="es-MX"/>
        </w:rPr>
        <w:t xml:space="preserve">es un acompañante digital </w:t>
      </w:r>
      <w:r>
        <w:rPr>
          <w:rFonts w:ascii="Arial" w:hAnsi="Arial" w:eastAsia="Arial" w:cs="Arial"/>
          <w:b w:val="0"/>
          <w:bCs w:val="0"/>
          <w:color w:val="000000"/>
          <w:sz w:val="24"/>
          <w:szCs w:val="24"/>
        </w:rPr>
        <w:t>que predice los niveles de glucosa en sangre para las proximas 6 horas, utilizando un modelo de inteligencia artificial hibrido que se ejecuta completamente en el dispositivo del usuario, sin requerir conexion a internet</w:t>
      </w:r>
      <w:r>
        <w:rPr>
          <w:rFonts w:hint="default" w:ascii="Arial" w:hAnsi="Arial" w:eastAsia="Arial" w:cs="Arial"/>
          <w:b w:val="0"/>
          <w:bCs w:val="0"/>
          <w:color w:val="000000"/>
          <w:sz w:val="24"/>
          <w:szCs w:val="24"/>
          <w:lang w:val="es-MX"/>
        </w:rPr>
        <w:t>, esta d</w:t>
      </w:r>
      <w:r>
        <w:rPr>
          <w:rFonts w:hint="default" w:ascii="Arial" w:hAnsi="Arial" w:eastAsia="sans-serif" w:cs="Arial"/>
          <w:sz w:val="24"/>
          <w:szCs w:val="24"/>
        </w:rPr>
        <w:t>iseñado para facilitar la gestión diaria de hábitos mediante tres pilares de baja fricción:</w:t>
      </w:r>
    </w:p>
    <w:p w14:paraId="5B2054A8">
      <w:pPr>
        <w:pStyle w:val="15"/>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b/>
          <w:bCs/>
        </w:rPr>
        <w:t>Registro Multimodal de Glucosa:</w:t>
      </w:r>
      <w:r>
        <w:rPr>
          <w:rFonts w:hint="default" w:ascii="Arial" w:hAnsi="Arial" w:eastAsia="sans-serif" w:cs="Arial"/>
        </w:rPr>
        <w:t xml:space="preserve"> Captura de niveles mediante fotografía de la pantalla del glucómetro (OCR), comandos de voz o teclado, eliminando errores de transcripción manual.</w:t>
      </w:r>
    </w:p>
    <w:p w14:paraId="3A2046B4">
      <w:pPr>
        <w:pStyle w:val="15"/>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b/>
          <w:bCs/>
        </w:rPr>
        <w:t>Asistente Nutricional de Voz:</w:t>
      </w:r>
      <w:r>
        <w:rPr>
          <w:rFonts w:hint="default" w:ascii="Arial" w:hAnsi="Arial" w:eastAsia="sans-serif" w:cs="Arial"/>
        </w:rPr>
        <w:t xml:space="preserve"> Registro de comidas en lenguaje natural (ej. "dos tacos de frijoles") con estimación de carbohidratos mediante un diccionario </w:t>
      </w:r>
      <w:r>
        <w:rPr>
          <w:rFonts w:hint="default" w:ascii="Arial" w:hAnsi="Arial" w:eastAsia="sans-serif" w:cs="Arial"/>
          <w:i/>
          <w:iCs/>
        </w:rPr>
        <w:t>offline</w:t>
      </w:r>
      <w:r>
        <w:rPr>
          <w:rFonts w:hint="default" w:ascii="Arial" w:hAnsi="Arial" w:eastAsia="sans-serif" w:cs="Arial"/>
        </w:rPr>
        <w:t xml:space="preserve"> adaptado a la dieta mexicana. </w:t>
      </w:r>
    </w:p>
    <w:p w14:paraId="11DD4325">
      <w:pPr>
        <w:pStyle w:val="15"/>
        <w:keepNext w:val="0"/>
        <w:keepLines w:val="0"/>
        <w:widowControl/>
        <w:suppressLineNumbers w:val="0"/>
        <w:spacing w:before="0" w:beforeAutospacing="0" w:line="14" w:lineRule="atLeast"/>
      </w:pPr>
      <w:r>
        <w:rPr>
          <w:rFonts w:hint="default" w:ascii="Arial" w:hAnsi="Arial" w:eastAsia="sans-serif" w:cs="Arial"/>
          <w:b/>
          <w:bCs/>
        </w:rPr>
        <w:t>Visualización de Tendencias Preventivas:</w:t>
      </w:r>
      <w:r>
        <w:rPr>
          <w:rFonts w:hint="default" w:ascii="Arial" w:hAnsi="Arial" w:eastAsia="sans-serif" w:cs="Arial"/>
        </w:rPr>
        <w:t xml:space="preserve"> Proyecta tendencias basadas en el historial del usuario para fomentar el entendimiento del metabolismo individual, promoviendo decisiones informadas sobre hábitos de vida. </w:t>
      </w:r>
    </w:p>
    <w:tbl>
      <w:tblPr>
        <w:tblStyle w:val="9"/>
        <w:tblW w:w="10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20"/>
      </w:tblGrid>
      <w:tr w14:paraId="4EA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56D5CC02">
            <w:pPr>
              <w:jc w:val="center"/>
            </w:pPr>
            <w:r>
              <w:rPr>
                <w:rFonts w:ascii="Arial" w:hAnsi="Arial" w:eastAsia="Arial" w:cs="Arial"/>
                <w:b/>
                <w:bCs/>
                <w:color w:val="000000" w:themeColor="text1"/>
                <w:sz w:val="22"/>
                <w:szCs w:val="22"/>
                <w14:textFill>
                  <w14:solidFill>
                    <w14:schemeClr w14:val="tx1"/>
                  </w14:solidFill>
                </w14:textFill>
              </w:rPr>
              <w:t>EL. SSH.  Descripcion tecnica de la solucion</w:t>
            </w:r>
          </w:p>
        </w:tc>
      </w:tr>
    </w:tbl>
    <w:p w14:paraId="7781D61B">
      <w:pPr>
        <w:spacing w:before="40" w:after="40"/>
      </w:pPr>
    </w:p>
    <w:p w14:paraId="51E8156C">
      <w:pPr>
        <w:spacing w:before="80" w:after="80"/>
        <w:jc w:val="left"/>
      </w:pPr>
      <w:r>
        <w:rPr>
          <w:rFonts w:ascii="Arial" w:hAnsi="Arial" w:eastAsia="Arial" w:cs="Arial"/>
          <w:b/>
          <w:bCs/>
          <w:color w:val="000000"/>
          <w:sz w:val="22"/>
          <w:szCs w:val="22"/>
        </w:rPr>
        <w:t>Arquitectura del sistema</w:t>
      </w:r>
    </w:p>
    <w:p w14:paraId="3B606743">
      <w:pPr>
        <w:spacing w:before="24" w:after="24"/>
        <w:rPr>
          <w:rFonts w:hint="default" w:ascii="Arial" w:hAnsi="Arial" w:cs="Arial"/>
          <w:sz w:val="24"/>
          <w:szCs w:val="24"/>
        </w:rPr>
      </w:pPr>
      <w:r>
        <w:rPr>
          <w:rFonts w:hint="default" w:ascii="Arial" w:hAnsi="Arial" w:eastAsia="SimSun" w:cs="Arial"/>
          <w:sz w:val="24"/>
          <w:szCs w:val="24"/>
        </w:rPr>
        <w:t>La arquitectura se simplifica para garantizar eficiencia local y privacidad total: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6"/>
        <w:gridCol w:w="3547"/>
        <w:gridCol w:w="3837"/>
      </w:tblGrid>
      <w:tr w14:paraId="120A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176E76FD">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Capa</w:t>
            </w:r>
          </w:p>
        </w:tc>
        <w:tc>
          <w:tcPr>
            <w:tcW w:w="36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2C5C62C5">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Componentes</w:t>
            </w:r>
          </w:p>
        </w:tc>
        <w:tc>
          <w:tcPr>
            <w:tcW w:w="396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4CE8A5F4">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Funcion</w:t>
            </w:r>
          </w:p>
        </w:tc>
      </w:tr>
      <w:tr w14:paraId="752D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95900E0">
            <w:pPr>
              <w:jc w:val="left"/>
            </w:pPr>
            <w:r>
              <w:rPr>
                <w:rFonts w:ascii="Arial" w:hAnsi="Arial" w:eastAsia="Arial" w:cs="Arial"/>
                <w:b/>
                <w:bCs/>
                <w:color w:val="000000"/>
                <w:sz w:val="22"/>
                <w:szCs w:val="22"/>
              </w:rPr>
              <w:t>1. Entrada</w:t>
            </w:r>
          </w:p>
        </w:tc>
        <w:tc>
          <w:tcPr>
            <w:tcW w:w="36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5D5AD82D">
            <w:pPr>
              <w:jc w:val="left"/>
            </w:pPr>
            <w:r>
              <w:rPr>
                <w:rFonts w:hint="default" w:ascii="Arial" w:hAnsi="Arial" w:eastAsia="SimSun" w:cs="Arial"/>
                <w:sz w:val="24"/>
                <w:szCs w:val="24"/>
              </w:rPr>
              <w:t>Whisper.cpp para voz y visión artificial ligera para la extracción de texto (OCR) de dispositivos de medición físicos.</w:t>
            </w:r>
          </w:p>
        </w:tc>
        <w:tc>
          <w:tcPr>
            <w:tcW w:w="396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684D97FD">
            <w:pPr>
              <w:jc w:val="left"/>
              <w:rPr>
                <w:rFonts w:ascii="Arial" w:hAnsi="Arial" w:eastAsia="Arial" w:cs="Arial"/>
                <w:b w:val="0"/>
                <w:bCs w:val="0"/>
                <w:color w:val="000000"/>
                <w:sz w:val="22"/>
                <w:szCs w:val="22"/>
              </w:rPr>
            </w:pPr>
            <w:r>
              <w:rPr>
                <w:rFonts w:ascii="Arial" w:hAnsi="Arial" w:eastAsia="Arial" w:cs="Arial"/>
                <w:b w:val="0"/>
                <w:bCs w:val="0"/>
                <w:color w:val="000000"/>
                <w:sz w:val="22"/>
                <w:szCs w:val="22"/>
              </w:rPr>
              <w:t xml:space="preserve">Captura de voz en espanol -&gt; </w:t>
            </w:r>
          </w:p>
          <w:p w14:paraId="44595FE8">
            <w:pPr>
              <w:jc w:val="left"/>
            </w:pPr>
            <w:r>
              <w:rPr>
                <w:rFonts w:ascii="Arial" w:hAnsi="Arial" w:eastAsia="Arial" w:cs="Arial"/>
                <w:b w:val="0"/>
                <w:bCs w:val="0"/>
                <w:color w:val="000000"/>
                <w:sz w:val="22"/>
                <w:szCs w:val="22"/>
              </w:rPr>
              <w:t>texto -&gt; estimacion de carbohidratos. Registro de glucos</w:t>
            </w:r>
            <w:r>
              <w:rPr>
                <w:rFonts w:hint="default" w:cs="Arial"/>
                <w:b w:val="0"/>
                <w:bCs w:val="0"/>
                <w:color w:val="000000"/>
                <w:sz w:val="22"/>
                <w:szCs w:val="22"/>
                <w:lang w:val="es-MX"/>
              </w:rPr>
              <w:t>a</w:t>
            </w:r>
            <w:r>
              <w:rPr>
                <w:rFonts w:ascii="Arial" w:hAnsi="Arial" w:eastAsia="Arial" w:cs="Arial"/>
                <w:b w:val="0"/>
                <w:bCs w:val="0"/>
                <w:color w:val="000000"/>
                <w:sz w:val="22"/>
                <w:szCs w:val="22"/>
              </w:rPr>
              <w:t>.</w:t>
            </w:r>
          </w:p>
        </w:tc>
      </w:tr>
      <w:tr w14:paraId="0187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318CCAF">
            <w:pPr>
              <w:jc w:val="left"/>
            </w:pPr>
            <w:r>
              <w:rPr>
                <w:rFonts w:ascii="Arial" w:hAnsi="Arial" w:eastAsia="Arial" w:cs="Arial"/>
                <w:b/>
                <w:bCs/>
                <w:color w:val="000000"/>
                <w:sz w:val="22"/>
                <w:szCs w:val="22"/>
              </w:rPr>
              <w:t xml:space="preserve">2. </w:t>
            </w:r>
            <w:r>
              <w:rPr>
                <w:rFonts w:hint="default" w:ascii="Arial" w:hAnsi="Arial" w:eastAsia="SimSun" w:cs="Arial"/>
                <w:b/>
                <w:bCs/>
                <w:sz w:val="24"/>
                <w:szCs w:val="24"/>
              </w:rPr>
              <w:t>Motor de Tendencias</w:t>
            </w:r>
          </w:p>
        </w:tc>
        <w:tc>
          <w:tcPr>
            <w:tcW w:w="36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7F7A7873">
            <w:pPr>
              <w:jc w:val="left"/>
            </w:pPr>
            <w:r>
              <w:rPr>
                <w:rFonts w:ascii="sans-serif" w:hAnsi="sans-serif" w:eastAsia="sans-serif" w:cs="sans-serif"/>
                <w:i w:val="0"/>
                <w:iCs w:val="0"/>
                <w:caps w:val="0"/>
                <w:color w:val="E3E3E3"/>
                <w:spacing w:val="0"/>
                <w:sz w:val="19"/>
                <w:szCs w:val="19"/>
                <w:shd w:val="clear" w:fill="282A2C"/>
              </w:rPr>
              <w:t> </w:t>
            </w:r>
            <w:r>
              <w:rPr>
                <w:rFonts w:hint="default" w:ascii="Arial" w:hAnsi="Arial" w:eastAsia="sans-serif" w:cs="Arial"/>
                <w:i w:val="0"/>
                <w:iCs w:val="0"/>
                <w:caps w:val="0"/>
                <w:color w:val="auto"/>
                <w:spacing w:val="0"/>
                <w:sz w:val="24"/>
                <w:szCs w:val="24"/>
                <w:shd w:val="clear" w:fill="FFFFFF" w:themeFill="background1"/>
              </w:rPr>
              <w:t>Modelo LSTM preentrenado con datasets internacionales (OhioT1DM/DiaTrend) para generar curvas de comportamiento</w:t>
            </w:r>
          </w:p>
        </w:tc>
        <w:tc>
          <w:tcPr>
            <w:tcW w:w="396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244B8892">
            <w:pPr>
              <w:jc w:val="left"/>
            </w:pPr>
            <w:r>
              <w:rPr>
                <w:rFonts w:ascii="Arial" w:hAnsi="Arial" w:eastAsia="Arial" w:cs="Arial"/>
                <w:b w:val="0"/>
                <w:bCs w:val="0"/>
                <w:color w:val="000000"/>
                <w:sz w:val="22"/>
                <w:szCs w:val="22"/>
              </w:rPr>
              <w:t>Prediccion de glucosa a 6 horas con intervalos de confianza. Generacion de explicacion en lenguaje natural.</w:t>
            </w:r>
          </w:p>
        </w:tc>
      </w:tr>
      <w:tr w14:paraId="6CBE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3867A71">
            <w:pPr>
              <w:jc w:val="left"/>
              <w:rPr>
                <w:rFonts w:hint="default"/>
                <w:lang w:val="es-MX"/>
              </w:rPr>
            </w:pPr>
            <w:r>
              <w:rPr>
                <w:rFonts w:ascii="Arial" w:hAnsi="Arial" w:eastAsia="Arial" w:cs="Arial"/>
                <w:b/>
                <w:bCs/>
                <w:color w:val="000000"/>
                <w:sz w:val="22"/>
                <w:szCs w:val="22"/>
              </w:rPr>
              <w:t>3. Personalizacion</w:t>
            </w:r>
            <w:r>
              <w:rPr>
                <w:rFonts w:hint="default" w:cs="Arial"/>
                <w:b/>
                <w:bCs/>
                <w:color w:val="000000"/>
                <w:sz w:val="22"/>
                <w:szCs w:val="22"/>
                <w:lang w:val="es-MX"/>
              </w:rPr>
              <w:t xml:space="preserve"> via agente reactivo</w:t>
            </w:r>
          </w:p>
        </w:tc>
        <w:tc>
          <w:tcPr>
            <w:tcW w:w="36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46755654">
            <w:pPr>
              <w:jc w:val="left"/>
            </w:pPr>
            <w:r>
              <w:rPr>
                <w:rFonts w:hint="default" w:ascii="Arial" w:hAnsi="Arial" w:eastAsia="SimSun" w:cs="Arial"/>
                <w:sz w:val="24"/>
                <w:szCs w:val="24"/>
              </w:rPr>
              <w:t>El sistema utiliza un agente de IA reactivo que compara la tendencia proyectada con la lectura real ingresada.</w:t>
            </w:r>
          </w:p>
        </w:tc>
        <w:tc>
          <w:tcPr>
            <w:tcW w:w="396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vAlign w:val="center"/>
          </w:tcPr>
          <w:p w14:paraId="125DFF5E">
            <w:pPr>
              <w:jc w:val="left"/>
            </w:pPr>
            <w:r>
              <w:rPr>
                <w:rFonts w:hint="default" w:ascii="Arial" w:hAnsi="Arial" w:eastAsia="SimSun" w:cs="Arial"/>
                <w:sz w:val="24"/>
                <w:szCs w:val="24"/>
              </w:rPr>
              <w:t>Si existe una desviación, el agente ajusta los parámetros locales para alinearse al ritmo metabólico del usuario, operando como un optimizador simple sin la complejidad de un entrenamiento masivo.</w:t>
            </w:r>
          </w:p>
        </w:tc>
      </w:tr>
    </w:tbl>
    <w:p w14:paraId="31220DC3">
      <w:pPr>
        <w:spacing w:before="40" w:after="40"/>
      </w:pPr>
    </w:p>
    <w:p w14:paraId="3313DED9">
      <w:pPr>
        <w:spacing w:before="80" w:after="80"/>
        <w:jc w:val="left"/>
      </w:pPr>
      <w:r>
        <w:rPr>
          <w:rFonts w:ascii="Arial" w:hAnsi="Arial" w:eastAsia="Arial" w:cs="Arial"/>
          <w:b/>
          <w:bCs/>
          <w:color w:val="000000"/>
          <w:sz w:val="22"/>
          <w:szCs w:val="22"/>
        </w:rPr>
        <w:t>Flujo de datos y privacidad</w:t>
      </w:r>
    </w:p>
    <w:p w14:paraId="0E50AB69">
      <w:pPr>
        <w:spacing w:before="80" w:after="80"/>
        <w:jc w:val="both"/>
        <w:rPr>
          <w:rFonts w:ascii="Arial" w:hAnsi="Arial" w:eastAsia="Arial" w:cs="Arial"/>
          <w:b w:val="0"/>
          <w:bCs w:val="0"/>
          <w:color w:val="000000"/>
          <w:sz w:val="22"/>
          <w:szCs w:val="22"/>
        </w:rPr>
      </w:pPr>
      <w:r>
        <w:rPr>
          <w:rFonts w:ascii="Arial" w:hAnsi="Arial" w:eastAsia="Arial" w:cs="Arial"/>
          <w:b w:val="0"/>
          <w:bCs w:val="0"/>
          <w:color w:val="000000"/>
          <w:sz w:val="22"/>
          <w:szCs w:val="22"/>
        </w:rPr>
        <w:t>Todos los datos (lecturas de glucosa, registros de voz, historial de comidas, pesos del modelo personalizado) permanecen en el almacenamiento local cifrado del dispositivo. Ningun dato sale del dispositivo salvo que el usuario lo autorice explicitamente. Los pesos del modelo base son descargados una sola vez durante la instalacion y actualizados con datos anonimizados de investigacion solo bajo consentimiento.</w:t>
      </w:r>
    </w:p>
    <w:p w14:paraId="06BD9619">
      <w:pPr>
        <w:spacing w:before="80" w:after="80"/>
        <w:jc w:val="both"/>
        <w:rPr>
          <w:rFonts w:ascii="Arial" w:hAnsi="Arial" w:eastAsia="Arial" w:cs="Arial"/>
          <w:b w:val="0"/>
          <w:bCs w:val="0"/>
          <w:color w:val="000000"/>
          <w:sz w:val="22"/>
          <w:szCs w:val="22"/>
        </w:rPr>
      </w:pPr>
    </w:p>
    <w:p w14:paraId="33CDE0F2">
      <w:pPr>
        <w:spacing w:before="24" w:after="24"/>
        <w:rPr>
          <w:rFonts w:hint="default" w:ascii="Arial" w:hAnsi="Arial" w:eastAsia="SimSun" w:cs="Arial"/>
          <w:sz w:val="24"/>
          <w:szCs w:val="24"/>
          <w:lang w:val="es-MX"/>
        </w:rPr>
      </w:pPr>
      <w:r>
        <w:rPr>
          <w:rFonts w:hint="default" w:ascii="Arial" w:hAnsi="Arial" w:eastAsia="SimSun" w:cs="Arial"/>
          <w:b/>
          <w:bCs/>
          <w:sz w:val="24"/>
          <w:szCs w:val="24"/>
        </w:rPr>
        <w:t>Para la extracción de texto en un entorno local y móvil</w:t>
      </w:r>
      <w:r>
        <w:rPr>
          <w:rFonts w:hint="default" w:ascii="Arial" w:hAnsi="Arial" w:eastAsia="SimSun" w:cs="Arial"/>
          <w:sz w:val="24"/>
          <w:szCs w:val="24"/>
        </w:rPr>
        <w:t>, especialmente enfocado en lecturas de dispositivos como glucómetros</w:t>
      </w:r>
      <w:r>
        <w:rPr>
          <w:rFonts w:hint="default" w:ascii="Arial" w:hAnsi="Arial" w:eastAsia="SimSun" w:cs="Arial"/>
          <w:sz w:val="24"/>
          <w:szCs w:val="24"/>
          <w:lang w:val="es-MX"/>
        </w:rPr>
        <w:t>:</w:t>
      </w:r>
    </w:p>
    <w:p w14:paraId="2E729036">
      <w:pPr>
        <w:numPr>
          <w:ilvl w:val="0"/>
          <w:numId w:val="1"/>
        </w:numPr>
        <w:spacing w:before="24" w:after="24"/>
        <w:ind w:left="425" w:leftChars="0" w:hanging="425" w:firstLineChars="0"/>
        <w:rPr>
          <w:rFonts w:hint="default" w:ascii="Arial" w:hAnsi="Arial" w:eastAsia="SimSun" w:cs="Arial"/>
          <w:sz w:val="24"/>
          <w:szCs w:val="24"/>
        </w:rPr>
      </w:pPr>
      <w:r>
        <w:rPr>
          <w:rFonts w:hint="default" w:ascii="Arial" w:hAnsi="Arial" w:eastAsia="SimSun" w:cs="Arial"/>
          <w:sz w:val="24"/>
          <w:szCs w:val="24"/>
        </w:rPr>
        <w:t>PaddleOCR (PP-OCR Mobile)</w:t>
      </w:r>
    </w:p>
    <w:p w14:paraId="69BB4304">
      <w:pPr>
        <w:numPr>
          <w:ilvl w:val="0"/>
          <w:numId w:val="1"/>
        </w:numPr>
        <w:spacing w:before="24" w:after="24"/>
        <w:ind w:left="425" w:leftChars="0" w:hanging="425" w:firstLineChars="0"/>
        <w:rPr>
          <w:rFonts w:hint="default" w:ascii="Arial" w:hAnsi="Arial" w:eastAsia="SimSun" w:cs="Arial"/>
          <w:sz w:val="24"/>
          <w:szCs w:val="24"/>
        </w:rPr>
      </w:pPr>
      <w:r>
        <w:rPr>
          <w:rFonts w:hint="default" w:ascii="Arial" w:hAnsi="Arial" w:eastAsia="SimSun" w:cs="Arial"/>
          <w:sz w:val="24"/>
          <w:szCs w:val="24"/>
        </w:rPr>
        <w:t>Moondream2 (0.5B) - La opción de "IA Generativa" (VLM)</w:t>
      </w:r>
    </w:p>
    <w:p w14:paraId="392EE359">
      <w:pPr>
        <w:numPr>
          <w:ilvl w:val="0"/>
          <w:numId w:val="1"/>
        </w:numPr>
        <w:spacing w:before="24" w:after="24"/>
        <w:ind w:left="425" w:leftChars="0" w:hanging="425" w:firstLineChars="0"/>
        <w:rPr>
          <w:rFonts w:hint="default" w:ascii="Arial" w:hAnsi="Arial" w:eastAsia="SimSun" w:cs="Arial"/>
          <w:sz w:val="24"/>
          <w:szCs w:val="24"/>
        </w:rPr>
      </w:pPr>
      <w:r>
        <w:rPr>
          <w:rFonts w:hint="default" w:ascii="Arial" w:hAnsi="Arial" w:eastAsia="SimSun" w:cs="Arial"/>
          <w:sz w:val="24"/>
          <w:szCs w:val="24"/>
        </w:rPr>
        <w:t>Google ML Kit (Text Recognition v2) - La opción de "Fricción Cero"</w:t>
      </w:r>
    </w:p>
    <w:p w14:paraId="61742249">
      <w:pPr>
        <w:spacing w:before="40" w:after="40"/>
      </w:pPr>
    </w:p>
    <w:p w14:paraId="25B17B31">
      <w:pPr>
        <w:spacing w:before="80" w:after="80"/>
        <w:jc w:val="left"/>
      </w:pPr>
      <w:r>
        <w:rPr>
          <w:rFonts w:ascii="Arial" w:hAnsi="Arial" w:eastAsia="Arial" w:cs="Arial"/>
          <w:b/>
          <w:bCs/>
          <w:color w:val="000000"/>
          <w:sz w:val="22"/>
          <w:szCs w:val="22"/>
        </w:rPr>
        <w:t>Validacion con usuario real</w:t>
      </w:r>
    </w:p>
    <w:p w14:paraId="26BE00A4">
      <w:pPr>
        <w:spacing w:before="80" w:after="80"/>
        <w:jc w:val="both"/>
      </w:pPr>
      <w:r>
        <w:rPr>
          <w:rFonts w:ascii="Arial" w:hAnsi="Arial" w:eastAsia="Arial" w:cs="Arial"/>
          <w:b w:val="0"/>
          <w:bCs w:val="0"/>
          <w:color w:val="000000"/>
          <w:sz w:val="22"/>
          <w:szCs w:val="22"/>
        </w:rPr>
        <w:t>El MVP fue desarrollado y validado con datos reales de una paciente con diabetes mellitus tipo 2, adulta mayor, residente en zona urbana de Mexico. La participante otorgo consentimiento informado por escrito, conforme a la NOM-004-SSA3-2012 y la Ley Federal de Proteccion de Datos Personales en Posesion de los Particulares (LFPDPPP). Los datos se presentan anonimizados en la demostracion. Esta validacion temprana con un usuario del grupo de mayor prevalencia (adultos mayores con DM2) fortalece la relevancia clinica del proyecto.</w:t>
      </w:r>
    </w:p>
    <w:p w14:paraId="5F4B1265">
      <w:pPr>
        <w:spacing w:before="40" w:after="40"/>
      </w:pPr>
    </w:p>
    <w:p w14:paraId="77EBCB2D">
      <w:pPr>
        <w:spacing w:before="80" w:after="80"/>
        <w:jc w:val="left"/>
      </w:pPr>
      <w:r>
        <w:rPr>
          <w:rFonts w:ascii="Arial" w:hAnsi="Arial" w:eastAsia="Arial" w:cs="Arial"/>
          <w:b/>
          <w:bCs/>
          <w:color w:val="000000"/>
          <w:sz w:val="22"/>
          <w:szCs w:val="22"/>
        </w:rPr>
        <w:t>Riesgos tecnicos y mitigacion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3276"/>
        <w:gridCol w:w="3276"/>
      </w:tblGrid>
      <w:tr w14:paraId="1211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8"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4580436B">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Riesgo</w:t>
            </w:r>
          </w:p>
        </w:tc>
        <w:tc>
          <w:tcPr>
            <w:tcW w:w="3276"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3C344B95">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Impacto</w:t>
            </w:r>
          </w:p>
        </w:tc>
        <w:tc>
          <w:tcPr>
            <w:tcW w:w="3276"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1B533F7C">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Mitigacion implementada</w:t>
            </w:r>
          </w:p>
        </w:tc>
      </w:tr>
      <w:tr w14:paraId="7454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D2E4860">
            <w:pPr>
              <w:jc w:val="left"/>
            </w:pPr>
            <w:r>
              <w:rPr>
                <w:rFonts w:ascii="Arial" w:hAnsi="Arial" w:eastAsia="Arial" w:cs="Arial"/>
                <w:b w:val="0"/>
                <w:bCs w:val="0"/>
                <w:color w:val="000000"/>
                <w:sz w:val="22"/>
                <w:szCs w:val="22"/>
              </w:rPr>
              <w:t>Latencia elevada del LLM en gama media-baja</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0BE18EC5">
            <w:pPr>
              <w:jc w:val="left"/>
            </w:pPr>
            <w:r>
              <w:rPr>
                <w:rFonts w:ascii="Arial" w:hAnsi="Arial" w:eastAsia="Arial" w:cs="Arial"/>
                <w:b w:val="0"/>
                <w:bCs w:val="0"/>
                <w:color w:val="000000"/>
                <w:sz w:val="22"/>
                <w:szCs w:val="22"/>
              </w:rPr>
              <w:t>Experiencia de usuario degradada; usuario abandona registro</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EA6234C">
            <w:pPr>
              <w:jc w:val="left"/>
            </w:pPr>
            <w:r>
              <w:rPr>
                <w:rFonts w:ascii="Arial" w:hAnsi="Arial" w:eastAsia="Arial" w:cs="Arial"/>
                <w:b w:val="0"/>
                <w:bCs w:val="0"/>
                <w:color w:val="000000"/>
                <w:sz w:val="22"/>
                <w:szCs w:val="22"/>
              </w:rPr>
              <w:t>Fallback automatico a diccionario offline de 150+ platillos mexicanos (fuente: INCMNSZ) si inferencia supera 5 s</w:t>
            </w:r>
          </w:p>
        </w:tc>
      </w:tr>
      <w:tr w14:paraId="7AEC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68EEE5A">
            <w:pPr>
              <w:jc w:val="left"/>
            </w:pPr>
            <w:r>
              <w:rPr>
                <w:rFonts w:ascii="Arial" w:hAnsi="Arial" w:eastAsia="Arial" w:cs="Arial"/>
                <w:b w:val="0"/>
                <w:bCs w:val="0"/>
                <w:color w:val="000000"/>
                <w:sz w:val="22"/>
                <w:szCs w:val="22"/>
              </w:rPr>
              <w:t>Sesgo del modelo base (entrenado en DM1) al usarse en DM2</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982DA75">
            <w:pPr>
              <w:jc w:val="left"/>
            </w:pPr>
            <w:r>
              <w:rPr>
                <w:rFonts w:ascii="Arial" w:hAnsi="Arial" w:eastAsia="Arial" w:cs="Arial"/>
                <w:b w:val="0"/>
                <w:bCs w:val="0"/>
                <w:color w:val="000000"/>
                <w:sz w:val="22"/>
                <w:szCs w:val="22"/>
              </w:rPr>
              <w:t>Predicciones sistematicamente inexactas en primeras semanas</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6355C4F">
            <w:pPr>
              <w:jc w:val="left"/>
            </w:pPr>
            <w:r>
              <w:rPr>
                <w:rFonts w:ascii="Arial" w:hAnsi="Arial" w:eastAsia="Arial" w:cs="Arial"/>
                <w:b w:val="0"/>
                <w:bCs w:val="0"/>
                <w:color w:val="000000"/>
                <w:sz w:val="22"/>
                <w:szCs w:val="22"/>
              </w:rPr>
              <w:t>Incluir datos DM2 del dataset DiaTrend; el AG corrige el sesgo mediante personalizacion. Informar periodo de calibracion al usuario</w:t>
            </w:r>
          </w:p>
        </w:tc>
      </w:tr>
      <w:tr w14:paraId="275E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04E399C">
            <w:pPr>
              <w:jc w:val="left"/>
            </w:pPr>
            <w:r>
              <w:rPr>
                <w:rFonts w:ascii="Arial" w:hAnsi="Arial" w:eastAsia="Arial" w:cs="Arial"/>
                <w:b w:val="0"/>
                <w:bCs w:val="0"/>
                <w:color w:val="000000"/>
                <w:sz w:val="22"/>
                <w:szCs w:val="22"/>
              </w:rPr>
              <w:t>Error de ASR en voces con acento regional o adultos mayores</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4B6C5CE">
            <w:pPr>
              <w:jc w:val="left"/>
            </w:pPr>
            <w:r>
              <w:rPr>
                <w:rFonts w:ascii="Arial" w:hAnsi="Arial" w:eastAsia="Arial" w:cs="Arial"/>
                <w:b w:val="0"/>
                <w:bCs w:val="0"/>
                <w:color w:val="000000"/>
                <w:sz w:val="22"/>
                <w:szCs w:val="22"/>
              </w:rPr>
              <w:t>Datos de comida incorrectos -&gt; predicciones erradas</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63F2B2C">
            <w:pPr>
              <w:jc w:val="left"/>
            </w:pPr>
            <w:r>
              <w:rPr>
                <w:rFonts w:ascii="Arial" w:hAnsi="Arial" w:eastAsia="Arial" w:cs="Arial"/>
                <w:b w:val="0"/>
                <w:bCs w:val="0"/>
                <w:color w:val="000000"/>
                <w:sz w:val="22"/>
                <w:szCs w:val="22"/>
              </w:rPr>
              <w:t>Mostrar transcripcion siempre para correccion manual. Usar Whisper medium o large-v3 cuantizado para mayor precision en espanol mexicano</w:t>
            </w:r>
          </w:p>
        </w:tc>
      </w:tr>
      <w:tr w14:paraId="6906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FB096D0">
            <w:pPr>
              <w:jc w:val="left"/>
            </w:pPr>
            <w:r>
              <w:rPr>
                <w:rFonts w:ascii="Arial" w:hAnsi="Arial" w:eastAsia="Arial" w:cs="Arial"/>
                <w:b w:val="0"/>
                <w:bCs w:val="0"/>
                <w:color w:val="000000"/>
                <w:sz w:val="22"/>
                <w:szCs w:val="22"/>
              </w:rPr>
              <w:t>Consumo de bateria por AG y LLM simultaneos</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69C3EC5">
            <w:pPr>
              <w:jc w:val="left"/>
            </w:pPr>
            <w:r>
              <w:rPr>
                <w:rFonts w:ascii="Arial" w:hAnsi="Arial" w:eastAsia="Arial" w:cs="Arial"/>
                <w:b w:val="0"/>
                <w:bCs w:val="0"/>
                <w:color w:val="000000"/>
                <w:sz w:val="22"/>
                <w:szCs w:val="22"/>
              </w:rPr>
              <w:t>Desincentivar uso en sesiones largas</w:t>
            </w:r>
          </w:p>
        </w:tc>
        <w:tc>
          <w:tcPr>
            <w:tcW w:w="32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C51C104">
            <w:pPr>
              <w:jc w:val="left"/>
            </w:pPr>
            <w:r>
              <w:rPr>
                <w:rFonts w:ascii="Arial" w:hAnsi="Arial" w:eastAsia="Arial" w:cs="Arial"/>
                <w:b w:val="0"/>
                <w:bCs w:val="0"/>
                <w:color w:val="000000"/>
                <w:sz w:val="22"/>
                <w:szCs w:val="22"/>
              </w:rPr>
              <w:t>AG se ejecuta en background solo con cargador conectado o durante inactividad del usuario</w:t>
            </w:r>
          </w:p>
        </w:tc>
      </w:tr>
    </w:tbl>
    <w:p w14:paraId="1BAA9B37">
      <w:pPr>
        <w:spacing w:before="80" w:after="80"/>
      </w:pPr>
    </w:p>
    <w:p w14:paraId="0ABD46FA">
      <w:pPr>
        <w:pStyle w:val="15"/>
        <w:keepNext w:val="0"/>
        <w:keepLines w:val="0"/>
        <w:widowControl/>
        <w:suppressLineNumbers w:val="0"/>
        <w:rPr>
          <w:rFonts w:hint="default" w:ascii="Arial" w:hAnsi="Arial" w:cs="Arial"/>
        </w:rPr>
      </w:pPr>
      <w:r>
        <w:rPr>
          <w:rFonts w:hint="default" w:ascii="Arial" w:hAnsi="Arial" w:cs="Arial"/>
          <w:b/>
          <w:bCs/>
        </w:rPr>
        <w:t>No es un Dispositivo de Diagnóstico:</w:t>
      </w:r>
      <w:r>
        <w:rPr>
          <w:rFonts w:hint="default" w:ascii="Arial" w:hAnsi="Arial" w:cs="Arial"/>
        </w:rPr>
        <w:t xml:space="preserve"> El sistema no determina la presencia de enfermedades ni sustituye pruebas de laboratorio clínico. </w:t>
      </w:r>
    </w:p>
    <w:p w14:paraId="62F8F755">
      <w:pPr>
        <w:pStyle w:val="15"/>
        <w:keepNext w:val="0"/>
        <w:keepLines w:val="0"/>
        <w:widowControl/>
        <w:suppressLineNumbers w:val="0"/>
        <w:rPr>
          <w:rFonts w:hint="default" w:ascii="Arial" w:hAnsi="Arial" w:cs="Arial"/>
        </w:rPr>
      </w:pPr>
      <w:r>
        <w:rPr>
          <w:rFonts w:hint="default" w:ascii="Arial" w:hAnsi="Arial" w:cs="Arial"/>
          <w:b/>
          <w:bCs/>
        </w:rPr>
        <w:t>Finalidad Educativa:</w:t>
      </w:r>
      <w:r>
        <w:rPr>
          <w:rFonts w:hint="default" w:ascii="Arial" w:hAnsi="Arial" w:cs="Arial"/>
        </w:rPr>
        <w:t xml:space="preserve"> Las proyecciones son herramientas de visualización de tendencias para apoyo al autocuidado, no instrucciones médicas.</w:t>
      </w:r>
    </w:p>
    <w:p w14:paraId="656B6C31">
      <w:pPr>
        <w:pStyle w:val="15"/>
        <w:keepNext w:val="0"/>
        <w:keepLines w:val="0"/>
        <w:widowControl/>
        <w:suppressLineNumbers w:val="0"/>
        <w:rPr>
          <w:rFonts w:hint="default" w:ascii="Arial" w:hAnsi="Arial" w:cs="Arial"/>
        </w:rPr>
      </w:pPr>
      <w:r>
        <w:rPr>
          <w:rFonts w:hint="default" w:ascii="Arial" w:hAnsi="Arial" w:cs="Arial"/>
          <w:b/>
          <w:bCs/>
        </w:rPr>
        <w:t>Sin Recomendaciones Farmacológicas:</w:t>
      </w:r>
      <w:r>
        <w:rPr>
          <w:rFonts w:hint="default" w:ascii="Arial" w:hAnsi="Arial" w:cs="Arial"/>
        </w:rPr>
        <w:t xml:space="preserve"> GlucoGen </w:t>
      </w:r>
      <w:r>
        <w:rPr>
          <w:rFonts w:hint="default" w:ascii="Arial" w:hAnsi="Arial" w:cs="Arial"/>
          <w:b w:val="0"/>
          <w:bCs w:val="0"/>
        </w:rPr>
        <w:t>no</w:t>
      </w:r>
      <w:r>
        <w:rPr>
          <w:rFonts w:hint="default" w:ascii="Arial" w:hAnsi="Arial" w:cs="Arial"/>
        </w:rPr>
        <w:t xml:space="preserve"> sugiere dosis de insulina, medicamentos ni cambios en tratamientos prescritos por profesionales de la salud.</w:t>
      </w:r>
    </w:p>
    <w:tbl>
      <w:tblPr>
        <w:tblStyle w:val="9"/>
        <w:tblW w:w="10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20"/>
      </w:tblGrid>
      <w:tr w14:paraId="5FAD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2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08FE9788">
            <w:pPr>
              <w:jc w:val="center"/>
            </w:pPr>
            <w:r>
              <w:rPr>
                <w:rFonts w:ascii="Arial" w:hAnsi="Arial" w:eastAsia="Arial" w:cs="Arial"/>
                <w:b/>
                <w:bCs/>
                <w:color w:val="000000" w:themeColor="text1"/>
                <w:sz w:val="22"/>
                <w:szCs w:val="22"/>
                <w14:textFill>
                  <w14:solidFill>
                    <w14:schemeClr w14:val="tx1"/>
                  </w14:solidFill>
                </w14:textFill>
              </w:rPr>
              <w:t>EL. SSH.  Analisis de mercado</w:t>
            </w:r>
          </w:p>
        </w:tc>
      </w:tr>
    </w:tbl>
    <w:p w14:paraId="654A9256">
      <w:pPr>
        <w:spacing w:before="40" w:after="40"/>
      </w:pPr>
    </w:p>
    <w:p w14:paraId="1B96C8DB">
      <w:pPr>
        <w:spacing w:before="80" w:after="80"/>
        <w:jc w:val="both"/>
      </w:pPr>
      <w:r>
        <w:rPr>
          <w:rFonts w:ascii="Arial" w:hAnsi="Arial" w:eastAsia="Arial" w:cs="Arial"/>
          <w:b w:val="0"/>
          <w:bCs w:val="0"/>
          <w:color w:val="000000"/>
          <w:sz w:val="22"/>
          <w:szCs w:val="22"/>
        </w:rPr>
        <w:t>Gluco</w:t>
      </w:r>
      <w:r>
        <w:rPr>
          <w:rFonts w:hint="default" w:cs="Arial"/>
          <w:b w:val="0"/>
          <w:bCs w:val="0"/>
          <w:color w:val="000000"/>
          <w:sz w:val="22"/>
          <w:szCs w:val="22"/>
          <w:lang w:val="es-MX"/>
        </w:rPr>
        <w:t>Gen</w:t>
      </w:r>
      <w:r>
        <w:rPr>
          <w:rFonts w:ascii="Arial" w:hAnsi="Arial" w:eastAsia="Arial" w:cs="Arial"/>
          <w:b w:val="0"/>
          <w:bCs w:val="0"/>
          <w:color w:val="000000"/>
          <w:sz w:val="22"/>
          <w:szCs w:val="22"/>
        </w:rPr>
        <w:t xml:space="preserve"> opera en el mercado de salud digital para diabetes en Mexico, inscrito en los codigos SCIAN 621111 (consultorios de medicina general) y 722321 (servicios de bienestar y salud preventiva digital). El mercado objetivo son los aproximadamente 14.6 millones de adultos mexicanos con diabetes (ENSANUT 2022), con enfasis en:</w:t>
      </w:r>
    </w:p>
    <w:p w14:paraId="27ED3FF4">
      <w:pPr>
        <w:spacing w:before="24" w:after="24"/>
      </w:pPr>
    </w:p>
    <w:p w14:paraId="7E357C33">
      <w:pPr>
        <w:pStyle w:val="17"/>
        <w:numPr>
          <w:ilvl w:val="0"/>
          <w:numId w:val="2"/>
        </w:numPr>
        <w:spacing w:before="40" w:after="40"/>
      </w:pPr>
      <w:r>
        <w:rPr>
          <w:rFonts w:ascii="Arial" w:hAnsi="Arial" w:eastAsia="Arial" w:cs="Arial"/>
          <w:sz w:val="22"/>
          <w:szCs w:val="22"/>
        </w:rPr>
        <w:t xml:space="preserve">Adultos mayores de 50 </w:t>
      </w:r>
      <w:r>
        <w:rPr>
          <w:rFonts w:cs="Arial"/>
          <w:sz w:val="22"/>
          <w:szCs w:val="22"/>
          <w:lang w:val="es-MX"/>
        </w:rPr>
        <w:t>años</w:t>
      </w:r>
      <w:r>
        <w:rPr>
          <w:rFonts w:ascii="Arial" w:hAnsi="Arial" w:eastAsia="Arial" w:cs="Arial"/>
          <w:sz w:val="22"/>
          <w:szCs w:val="22"/>
        </w:rPr>
        <w:t xml:space="preserve"> con DM2 (grupo de mayor prevalencia)</w:t>
      </w:r>
    </w:p>
    <w:p w14:paraId="19E454CB">
      <w:pPr>
        <w:pStyle w:val="17"/>
        <w:numPr>
          <w:ilvl w:val="0"/>
          <w:numId w:val="2"/>
        </w:numPr>
        <w:spacing w:before="40" w:after="40"/>
      </w:pPr>
      <w:r>
        <w:rPr>
          <w:rFonts w:ascii="Arial" w:hAnsi="Arial" w:eastAsia="Arial" w:cs="Arial"/>
          <w:sz w:val="22"/>
          <w:szCs w:val="22"/>
        </w:rPr>
        <w:t>Pacientes que no cuentan con monitoreo continuo de glucosa (CGM) por costo o acceso</w:t>
      </w:r>
    </w:p>
    <w:p w14:paraId="0DBF6972">
      <w:pPr>
        <w:pStyle w:val="17"/>
        <w:numPr>
          <w:ilvl w:val="0"/>
          <w:numId w:val="2"/>
        </w:numPr>
        <w:spacing w:before="40" w:after="40"/>
      </w:pPr>
      <w:r>
        <w:rPr>
          <w:rFonts w:ascii="Arial" w:hAnsi="Arial" w:eastAsia="Arial" w:cs="Arial"/>
          <w:sz w:val="22"/>
          <w:szCs w:val="22"/>
        </w:rPr>
        <w:t>Zonas urbanas y semiurbanas con acceso limitado a conectividad estable</w:t>
      </w:r>
    </w:p>
    <w:p w14:paraId="49BB5DE4">
      <w:pPr>
        <w:pStyle w:val="17"/>
        <w:numPr>
          <w:ilvl w:val="0"/>
          <w:numId w:val="2"/>
        </w:numPr>
        <w:spacing w:before="40" w:after="40"/>
      </w:pPr>
      <w:r>
        <w:rPr>
          <w:rFonts w:ascii="Arial" w:hAnsi="Arial" w:eastAsia="Arial" w:cs="Arial"/>
          <w:sz w:val="22"/>
          <w:szCs w:val="22"/>
        </w:rPr>
        <w:t>Cuidadores de personas con diabetes</w:t>
      </w:r>
    </w:p>
    <w:p w14:paraId="7000A132">
      <w:pPr>
        <w:spacing w:before="40" w:after="40"/>
      </w:pPr>
    </w:p>
    <w:p w14:paraId="77EA7F33">
      <w:pPr>
        <w:spacing w:before="80" w:after="80"/>
        <w:jc w:val="left"/>
      </w:pPr>
      <w:r>
        <w:rPr>
          <w:rFonts w:ascii="Arial" w:hAnsi="Arial" w:eastAsia="Arial" w:cs="Arial"/>
          <w:b/>
          <w:bCs/>
          <w:color w:val="000000"/>
          <w:sz w:val="22"/>
          <w:szCs w:val="22"/>
        </w:rPr>
        <w:t>Analisis competitivo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070"/>
        <w:gridCol w:w="1440"/>
        <w:gridCol w:w="1755"/>
        <w:gridCol w:w="1755"/>
      </w:tblGrid>
      <w:tr w14:paraId="5E3C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7E309906">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Caracteristica</w:t>
            </w:r>
          </w:p>
        </w:tc>
        <w:tc>
          <w:tcPr>
            <w:tcW w:w="207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42117FF9">
            <w:pPr>
              <w:jc w:val="center"/>
              <w:rPr>
                <w:rFonts w:hint="default"/>
                <w:color w:val="000000" w:themeColor="text1"/>
                <w:lang w:val="es-MX"/>
                <w14:textFill>
                  <w14:solidFill>
                    <w14:schemeClr w14:val="tx1"/>
                  </w14:solidFill>
                </w14:textFill>
              </w:rPr>
            </w:pPr>
            <w:r>
              <w:rPr>
                <w:rFonts w:cs="Arial"/>
                <w:b/>
                <w:bCs/>
                <w:color w:val="000000" w:themeColor="text1"/>
                <w:sz w:val="22"/>
                <w:szCs w:val="22"/>
                <w:lang w:val="es-MX"/>
                <w14:textFill>
                  <w14:solidFill>
                    <w14:schemeClr w14:val="tx1"/>
                  </w14:solidFill>
                </w14:textFill>
              </w:rPr>
              <w:t>GlucoGen</w:t>
            </w:r>
          </w:p>
        </w:tc>
        <w:tc>
          <w:tcPr>
            <w:tcW w:w="144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122F15C7">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Dexcom G7</w:t>
            </w:r>
          </w:p>
        </w:tc>
        <w:tc>
          <w:tcPr>
            <w:tcW w:w="1755"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3BD7CE6C">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mySugr</w:t>
            </w:r>
          </w:p>
        </w:tc>
        <w:tc>
          <w:tcPr>
            <w:tcW w:w="1755"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2EC4DF91">
            <w:pPr>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Abbott LibreView</w:t>
            </w:r>
          </w:p>
        </w:tc>
      </w:tr>
      <w:tr w14:paraId="1A89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F089305">
            <w:pPr>
              <w:jc w:val="left"/>
            </w:pPr>
            <w:r>
              <w:rPr>
                <w:rFonts w:ascii="Arial" w:hAnsi="Arial" w:eastAsia="Arial" w:cs="Arial"/>
                <w:b w:val="0"/>
                <w:bCs w:val="0"/>
                <w:color w:val="000000"/>
                <w:sz w:val="22"/>
                <w:szCs w:val="22"/>
              </w:rPr>
              <w:t>Prediccion a 6 h</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3579936">
            <w:pPr>
              <w:jc w:val="center"/>
            </w:pPr>
            <w:r>
              <w:rPr>
                <w:rFonts w:ascii="Arial" w:hAnsi="Arial" w:eastAsia="Arial" w:cs="Arial"/>
                <w:b/>
                <w:bCs/>
                <w:color w:val="000000"/>
                <w:sz w:val="22"/>
                <w:szCs w:val="22"/>
              </w:rPr>
              <w:t>Si</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EEB1C08">
            <w:pPr>
              <w:jc w:val="center"/>
            </w:pPr>
            <w:r>
              <w:rPr>
                <w:rFonts w:ascii="Arial" w:hAnsi="Arial" w:eastAsia="Arial" w:cs="Arial"/>
                <w:b w:val="0"/>
                <w:bCs w:val="0"/>
                <w:color w:val="000000"/>
                <w:sz w:val="22"/>
                <w:szCs w:val="22"/>
              </w:rPr>
              <w:t>30 min</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37C4869">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9EF52AE">
            <w:pPr>
              <w:jc w:val="center"/>
            </w:pPr>
            <w:r>
              <w:rPr>
                <w:rFonts w:ascii="Arial" w:hAnsi="Arial" w:eastAsia="Arial" w:cs="Arial"/>
                <w:b w:val="0"/>
                <w:bCs w:val="0"/>
                <w:color w:val="000000"/>
                <w:sz w:val="22"/>
                <w:szCs w:val="22"/>
              </w:rPr>
              <w:t>No</w:t>
            </w:r>
          </w:p>
        </w:tc>
      </w:tr>
      <w:tr w14:paraId="0A25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1BDA7FD">
            <w:pPr>
              <w:jc w:val="left"/>
            </w:pPr>
            <w:r>
              <w:rPr>
                <w:rFonts w:ascii="Arial" w:hAnsi="Arial" w:eastAsia="Arial" w:cs="Arial"/>
                <w:b w:val="0"/>
                <w:bCs w:val="0"/>
                <w:color w:val="000000"/>
                <w:sz w:val="22"/>
                <w:szCs w:val="22"/>
              </w:rPr>
              <w:t>Voz offline en espanol</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90EE27B">
            <w:pPr>
              <w:jc w:val="center"/>
            </w:pPr>
            <w:r>
              <w:rPr>
                <w:rFonts w:ascii="Arial" w:hAnsi="Arial" w:eastAsia="Arial" w:cs="Arial"/>
                <w:b/>
                <w:bCs/>
                <w:color w:val="000000"/>
                <w:sz w:val="22"/>
                <w:szCs w:val="22"/>
              </w:rPr>
              <w:t>Si</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F479630">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F4BA5C5">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823F7B4">
            <w:pPr>
              <w:jc w:val="center"/>
            </w:pPr>
            <w:r>
              <w:rPr>
                <w:rFonts w:ascii="Arial" w:hAnsi="Arial" w:eastAsia="Arial" w:cs="Arial"/>
                <w:b w:val="0"/>
                <w:bCs w:val="0"/>
                <w:color w:val="000000"/>
                <w:sz w:val="22"/>
                <w:szCs w:val="22"/>
              </w:rPr>
              <w:t>No</w:t>
            </w:r>
          </w:p>
        </w:tc>
      </w:tr>
      <w:tr w14:paraId="703A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3BBFA21">
            <w:pPr>
              <w:jc w:val="left"/>
            </w:pPr>
            <w:r>
              <w:rPr>
                <w:rFonts w:ascii="Arial" w:hAnsi="Arial" w:eastAsia="Arial" w:cs="Arial"/>
                <w:b w:val="0"/>
                <w:bCs w:val="0"/>
                <w:color w:val="000000"/>
                <w:sz w:val="22"/>
                <w:szCs w:val="22"/>
              </w:rPr>
              <w:t>Sin internet requerido</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5DC60CE">
            <w:pPr>
              <w:jc w:val="center"/>
            </w:pPr>
            <w:r>
              <w:rPr>
                <w:rFonts w:ascii="Arial" w:hAnsi="Arial" w:eastAsia="Arial" w:cs="Arial"/>
                <w:b/>
                <w:bCs/>
                <w:color w:val="000000"/>
                <w:sz w:val="22"/>
                <w:szCs w:val="22"/>
              </w:rPr>
              <w:t>Si</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4CABB27">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A4AE71D">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7EFD0FB6">
            <w:pPr>
              <w:jc w:val="center"/>
            </w:pPr>
            <w:r>
              <w:rPr>
                <w:rFonts w:ascii="Arial" w:hAnsi="Arial" w:eastAsia="Arial" w:cs="Arial"/>
                <w:b w:val="0"/>
                <w:bCs w:val="0"/>
                <w:color w:val="000000"/>
                <w:sz w:val="22"/>
                <w:szCs w:val="22"/>
              </w:rPr>
              <w:t>No</w:t>
            </w:r>
          </w:p>
        </w:tc>
      </w:tr>
      <w:tr w14:paraId="2ED0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0BF4FF9B">
            <w:pPr>
              <w:jc w:val="left"/>
            </w:pPr>
            <w:r>
              <w:rPr>
                <w:rFonts w:ascii="Arial" w:hAnsi="Arial" w:eastAsia="Arial" w:cs="Arial"/>
                <w:b w:val="0"/>
                <w:bCs w:val="0"/>
                <w:color w:val="000000"/>
                <w:sz w:val="22"/>
                <w:szCs w:val="22"/>
              </w:rPr>
              <w:t>Dieta mexicana integrada</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0035C781">
            <w:pPr>
              <w:jc w:val="center"/>
            </w:pPr>
            <w:r>
              <w:rPr>
                <w:rFonts w:ascii="Arial" w:hAnsi="Arial" w:eastAsia="Arial" w:cs="Arial"/>
                <w:b/>
                <w:bCs/>
                <w:color w:val="000000"/>
                <w:sz w:val="22"/>
                <w:szCs w:val="22"/>
              </w:rPr>
              <w:t>Si</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0E91DCC3">
            <w:pPr>
              <w:jc w:val="center"/>
            </w:pPr>
            <w:r>
              <w:rPr>
                <w:rFonts w:ascii="Arial" w:hAnsi="Arial" w:eastAsia="Arial" w:cs="Arial"/>
                <w:b w:val="0"/>
                <w:bCs w:val="0"/>
                <w:color w:val="000000"/>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552CC52">
            <w:pPr>
              <w:jc w:val="center"/>
            </w:pPr>
            <w:r>
              <w:rPr>
                <w:rFonts w:ascii="Arial" w:hAnsi="Arial" w:eastAsia="Arial" w:cs="Arial"/>
                <w:b w:val="0"/>
                <w:bCs w:val="0"/>
                <w:color w:val="000000"/>
                <w:sz w:val="22"/>
                <w:szCs w:val="22"/>
              </w:rPr>
              <w:t>Parcial</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BC10A58">
            <w:pPr>
              <w:jc w:val="center"/>
            </w:pPr>
            <w:r>
              <w:rPr>
                <w:rFonts w:ascii="Arial" w:hAnsi="Arial" w:eastAsia="Arial" w:cs="Arial"/>
                <w:b w:val="0"/>
                <w:bCs w:val="0"/>
                <w:color w:val="000000"/>
                <w:sz w:val="22"/>
                <w:szCs w:val="22"/>
              </w:rPr>
              <w:t>No</w:t>
            </w:r>
          </w:p>
        </w:tc>
      </w:tr>
      <w:tr w14:paraId="5924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52132A5">
            <w:pPr>
              <w:jc w:val="left"/>
              <w:rPr>
                <w:rFonts w:hint="default" w:ascii="Arial" w:hAnsi="Arial" w:cs="Arial"/>
                <w:sz w:val="22"/>
                <w:szCs w:val="22"/>
              </w:rPr>
            </w:pPr>
            <w:r>
              <w:rPr>
                <w:rFonts w:hint="default" w:ascii="Arial" w:hAnsi="Arial" w:eastAsia="SimSun" w:cs="Arial"/>
                <w:sz w:val="22"/>
                <w:szCs w:val="22"/>
              </w:rPr>
              <w:t>Dependencia de Hardware</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F7CB04D">
            <w:pPr>
              <w:jc w:val="center"/>
              <w:rPr>
                <w:rFonts w:hint="default" w:ascii="Arial" w:hAnsi="Arial" w:cs="Arial"/>
                <w:b/>
                <w:bCs/>
                <w:sz w:val="22"/>
                <w:szCs w:val="22"/>
              </w:rPr>
            </w:pPr>
            <w:r>
              <w:rPr>
                <w:rFonts w:hint="default" w:ascii="Arial" w:hAnsi="Arial" w:eastAsia="SimSun" w:cs="Arial"/>
                <w:b/>
                <w:bCs/>
                <w:sz w:val="22"/>
                <w:szCs w:val="22"/>
              </w:rPr>
              <w:t>Smartphone del usuario</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3C55E56">
            <w:pPr>
              <w:jc w:val="center"/>
              <w:rPr>
                <w:rFonts w:hint="default" w:ascii="Arial" w:hAnsi="Arial" w:cs="Arial"/>
                <w:sz w:val="22"/>
                <w:szCs w:val="22"/>
              </w:rPr>
            </w:pPr>
            <w:r>
              <w:rPr>
                <w:rFonts w:hint="default" w:ascii="Arial" w:hAnsi="Arial" w:eastAsia="SimSun" w:cs="Arial"/>
                <w:sz w:val="22"/>
                <w:szCs w:val="22"/>
              </w:rPr>
              <w:t>Sensor propietario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1412186">
            <w:pPr>
              <w:jc w:val="center"/>
              <w:rPr>
                <w:rFonts w:hint="default" w:ascii="Arial" w:hAnsi="Arial" w:cs="Arial"/>
                <w:sz w:val="22"/>
                <w:szCs w:val="22"/>
              </w:rPr>
            </w:pPr>
            <w:r>
              <w:rPr>
                <w:rFonts w:hint="default" w:ascii="Arial" w:hAnsi="Arial" w:eastAsia="SimSun" w:cs="Arial"/>
                <w:sz w:val="22"/>
                <w:szCs w:val="22"/>
              </w:rPr>
              <w:t>Sensor propietario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2C4FD80">
            <w:pPr>
              <w:jc w:val="center"/>
              <w:rPr>
                <w:rFonts w:hint="default" w:ascii="Arial" w:hAnsi="Arial" w:cs="Arial"/>
                <w:sz w:val="22"/>
                <w:szCs w:val="22"/>
              </w:rPr>
            </w:pPr>
            <w:r>
              <w:rPr>
                <w:rFonts w:hint="default" w:ascii="Arial" w:hAnsi="Arial" w:eastAsia="SimSun" w:cs="Arial"/>
                <w:sz w:val="22"/>
                <w:szCs w:val="22"/>
              </w:rPr>
              <w:t>Sensor propietario</w:t>
            </w:r>
          </w:p>
        </w:tc>
      </w:tr>
      <w:tr w14:paraId="035C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9" w:hRule="atLeast"/>
        </w:trPr>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B9AD74E">
            <w:pPr>
              <w:jc w:val="left"/>
              <w:rPr>
                <w:rFonts w:hint="default" w:ascii="Arial" w:hAnsi="Arial" w:eastAsia="Arial" w:cs="Arial"/>
                <w:b w:val="0"/>
                <w:bCs w:val="0"/>
                <w:color w:val="000000"/>
                <w:sz w:val="22"/>
                <w:szCs w:val="22"/>
              </w:rPr>
            </w:pPr>
            <w:r>
              <w:rPr>
                <w:rFonts w:hint="default" w:ascii="Arial" w:hAnsi="Arial" w:eastAsia="SimSun" w:cs="Arial"/>
                <w:sz w:val="22"/>
                <w:szCs w:val="22"/>
              </w:rPr>
              <w:t>Opción Pago Único</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BC7FAA9">
            <w:pPr>
              <w:jc w:val="center"/>
              <w:rPr>
                <w:rFonts w:hint="default" w:ascii="Arial" w:hAnsi="Arial" w:eastAsia="Arial" w:cs="Arial"/>
                <w:b/>
                <w:bCs/>
                <w:color w:val="000000"/>
                <w:sz w:val="22"/>
                <w:szCs w:val="22"/>
              </w:rPr>
            </w:pPr>
            <w:r>
              <w:rPr>
                <w:rFonts w:hint="default" w:ascii="Arial" w:hAnsi="Arial" w:eastAsia="SimSun" w:cs="Arial"/>
                <w:b/>
                <w:bCs/>
                <w:sz w:val="22"/>
                <w:szCs w:val="22"/>
              </w:rPr>
              <w:t>Sí ($1,999 MXN)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72406AC">
            <w:pPr>
              <w:jc w:val="center"/>
              <w:rPr>
                <w:rFonts w:hint="default" w:ascii="Arial" w:hAnsi="Arial" w:eastAsia="Arial" w:cs="Arial"/>
                <w:b w:val="0"/>
                <w:bCs w:val="0"/>
                <w:color w:val="000000"/>
                <w:sz w:val="22"/>
                <w:szCs w:val="22"/>
              </w:rPr>
            </w:pPr>
            <w:r>
              <w:rPr>
                <w:rFonts w:hint="default" w:ascii="Arial" w:hAnsi="Arial" w:eastAsia="SimSun" w:cs="Arial"/>
                <w:sz w:val="22"/>
                <w:szCs w:val="22"/>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E55AF62">
            <w:pPr>
              <w:jc w:val="center"/>
              <w:rPr>
                <w:rFonts w:hint="default" w:ascii="Arial" w:hAnsi="Arial" w:eastAsia="Arial" w:cs="Arial"/>
                <w:b w:val="0"/>
                <w:bCs w:val="0"/>
                <w:color w:val="000000"/>
                <w:sz w:val="22"/>
                <w:szCs w:val="22"/>
                <w:lang w:val="es-MX"/>
              </w:rPr>
            </w:pPr>
            <w:r>
              <w:rPr>
                <w:rFonts w:hint="default" w:ascii="Arial" w:hAnsi="Arial" w:cs="Arial"/>
                <w:b w:val="0"/>
                <w:bCs w:val="0"/>
                <w:color w:val="000000"/>
                <w:sz w:val="22"/>
                <w:szCs w:val="22"/>
                <w:lang w:val="es-MX"/>
              </w:rPr>
              <w:t>No</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AB1E924">
            <w:pPr>
              <w:jc w:val="center"/>
              <w:rPr>
                <w:rFonts w:hint="default" w:ascii="Arial" w:hAnsi="Arial" w:eastAsia="Arial" w:cs="Arial"/>
                <w:b w:val="0"/>
                <w:bCs w:val="0"/>
                <w:color w:val="000000"/>
                <w:sz w:val="22"/>
                <w:szCs w:val="22"/>
              </w:rPr>
            </w:pPr>
            <w:r>
              <w:rPr>
                <w:rFonts w:hint="default" w:ascii="Arial" w:hAnsi="Arial" w:eastAsia="SimSun" w:cs="Arial"/>
                <w:sz w:val="22"/>
                <w:szCs w:val="22"/>
              </w:rPr>
              <w:t>No</w:t>
            </w:r>
          </w:p>
        </w:tc>
      </w:tr>
      <w:tr w14:paraId="1523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24B240B1">
            <w:pPr>
              <w:jc w:val="left"/>
              <w:rPr>
                <w:rFonts w:hint="default" w:ascii="Arial" w:hAnsi="Arial" w:eastAsia="SimSun" w:cs="Arial"/>
                <w:sz w:val="22"/>
                <w:szCs w:val="22"/>
              </w:rPr>
            </w:pPr>
            <w:r>
              <w:rPr>
                <w:rFonts w:hint="default" w:ascii="Arial" w:hAnsi="Arial" w:eastAsia="Arial" w:cs="Arial"/>
                <w:b w:val="0"/>
                <w:bCs w:val="0"/>
                <w:color w:val="000000"/>
                <w:sz w:val="22"/>
                <w:szCs w:val="22"/>
              </w:rPr>
              <w:t>Costo estimado usuario</w:t>
            </w:r>
          </w:p>
        </w:tc>
        <w:tc>
          <w:tcPr>
            <w:tcW w:w="207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63D0411">
            <w:pPr>
              <w:jc w:val="center"/>
              <w:rPr>
                <w:rFonts w:hint="default" w:ascii="Arial" w:hAnsi="Arial" w:eastAsia="SimSun" w:cs="Arial"/>
                <w:sz w:val="22"/>
                <w:szCs w:val="22"/>
              </w:rPr>
            </w:pPr>
            <w:r>
              <w:rPr>
                <w:rFonts w:hint="default" w:ascii="Arial" w:hAnsi="Arial" w:eastAsia="SimSun" w:cs="Arial"/>
                <w:b/>
                <w:bCs/>
                <w:sz w:val="22"/>
                <w:szCs w:val="22"/>
              </w:rPr>
              <w:t>$0 - $149 MXN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8713864">
            <w:pPr>
              <w:jc w:val="center"/>
              <w:rPr>
                <w:rFonts w:hint="default" w:ascii="Arial" w:hAnsi="Arial" w:eastAsia="SimSun" w:cs="Arial"/>
                <w:sz w:val="22"/>
                <w:szCs w:val="22"/>
              </w:rPr>
            </w:pPr>
            <w:r>
              <w:rPr>
                <w:rFonts w:hint="default" w:ascii="Arial" w:hAnsi="Arial" w:eastAsia="Arial" w:cs="Arial"/>
                <w:b w:val="0"/>
                <w:bCs w:val="0"/>
                <w:color w:val="000000"/>
                <w:sz w:val="22"/>
                <w:szCs w:val="22"/>
              </w:rPr>
              <w:t>&gt;$3,000 MXN/mes</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54D2AA9">
            <w:pPr>
              <w:jc w:val="center"/>
              <w:rPr>
                <w:rFonts w:hint="default" w:ascii="Arial" w:hAnsi="Arial" w:cs="Arial"/>
                <w:b w:val="0"/>
                <w:bCs w:val="0"/>
                <w:color w:val="000000"/>
                <w:sz w:val="22"/>
                <w:szCs w:val="22"/>
                <w:lang w:val="es-MX"/>
              </w:rPr>
            </w:pPr>
            <w:r>
              <w:rPr>
                <w:rFonts w:hint="default" w:ascii="Arial" w:hAnsi="Arial" w:eastAsia="Arial" w:cs="Arial"/>
                <w:b w:val="0"/>
                <w:bCs w:val="0"/>
                <w:color w:val="000000"/>
                <w:sz w:val="22"/>
                <w:szCs w:val="22"/>
              </w:rPr>
              <w:t>$150 MXN/mes</w:t>
            </w:r>
          </w:p>
        </w:tc>
        <w:tc>
          <w:tcPr>
            <w:tcW w:w="17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0478E75">
            <w:pPr>
              <w:jc w:val="center"/>
              <w:rPr>
                <w:rFonts w:hint="default" w:ascii="Arial" w:hAnsi="Arial" w:eastAsia="SimSun" w:cs="Arial"/>
                <w:sz w:val="22"/>
                <w:szCs w:val="22"/>
              </w:rPr>
            </w:pPr>
            <w:r>
              <w:rPr>
                <w:rFonts w:hint="default" w:ascii="Arial" w:hAnsi="Arial" w:eastAsia="Arial" w:cs="Arial"/>
                <w:b w:val="0"/>
                <w:bCs w:val="0"/>
                <w:color w:val="000000"/>
                <w:sz w:val="22"/>
                <w:szCs w:val="22"/>
              </w:rPr>
              <w:t>Requiere sensor</w:t>
            </w:r>
          </w:p>
        </w:tc>
      </w:tr>
    </w:tbl>
    <w:p w14:paraId="5CEF0116">
      <w:pPr>
        <w:spacing w:before="40" w:after="40"/>
        <w:rPr>
          <w:rFonts w:hint="default" w:ascii="Arial" w:hAnsi="Arial" w:eastAsia="SimSun" w:cs="Arial"/>
          <w:sz w:val="24"/>
          <w:szCs w:val="24"/>
        </w:rPr>
      </w:pPr>
    </w:p>
    <w:p w14:paraId="74DEEAC4">
      <w:pPr>
        <w:spacing w:before="40" w:after="40"/>
        <w:rPr>
          <w:rFonts w:hint="default" w:ascii="Arial" w:hAnsi="Arial" w:eastAsia="SimSun" w:cs="Arial"/>
          <w:sz w:val="24"/>
          <w:szCs w:val="24"/>
        </w:rPr>
      </w:pPr>
      <w:r>
        <w:rPr>
          <w:rFonts w:hint="default" w:ascii="Arial" w:hAnsi="Arial" w:eastAsia="SimSun" w:cs="Arial"/>
          <w:sz w:val="24"/>
          <w:szCs w:val="24"/>
        </w:rPr>
        <w:t xml:space="preserve">A diferencia de competidores que procesan datos en la nube (AWS/Azure), GlucoGen ejecuta Whisper.cpp y LSTM localmente. Esto reduce el costo marginal por usuario a casi </w:t>
      </w:r>
      <w:r>
        <w:rPr>
          <w:rFonts w:hint="default" w:ascii="Arial" w:hAnsi="Arial" w:eastAsia="SimSun" w:cs="Arial"/>
          <w:b/>
          <w:bCs/>
          <w:sz w:val="24"/>
          <w:szCs w:val="24"/>
        </w:rPr>
        <w:t>$0 MXN</w:t>
      </w:r>
      <w:r>
        <w:rPr>
          <w:rFonts w:hint="default" w:ascii="Arial" w:hAnsi="Arial" w:eastAsia="SimSun" w:cs="Arial"/>
          <w:sz w:val="24"/>
          <w:szCs w:val="24"/>
        </w:rPr>
        <w:t>, permitiendo márgenes brutos superiores al 85% incluso</w:t>
      </w:r>
      <w:bookmarkStart w:id="0" w:name="_GoBack"/>
      <w:r>
        <w:rPr>
          <w:rFonts w:hint="default" w:ascii="Arial" w:hAnsi="Arial" w:eastAsia="SimSun" w:cs="Arial"/>
          <w:sz w:val="24"/>
          <w:szCs w:val="24"/>
        </w:rPr>
        <w:t xml:space="preserve"> </w:t>
      </w:r>
      <w:bookmarkEnd w:id="0"/>
      <w:r>
        <w:rPr>
          <w:rFonts w:hint="default" w:ascii="Arial" w:hAnsi="Arial" w:eastAsia="SimSun" w:cs="Arial"/>
          <w:sz w:val="24"/>
          <w:szCs w:val="24"/>
        </w:rPr>
        <w:t>en el plan de anuncios.</w:t>
      </w:r>
    </w:p>
    <w:p w14:paraId="7614919F">
      <w:pPr>
        <w:spacing w:before="40" w:after="40"/>
        <w:rPr>
          <w:rFonts w:hint="default" w:ascii="Arial" w:hAnsi="Arial" w:eastAsia="SimSun" w:cs="Arial"/>
          <w:sz w:val="24"/>
          <w:szCs w:val="24"/>
        </w:rPr>
      </w:pPr>
    </w:p>
    <w:p w14:paraId="583D28E3">
      <w:pPr>
        <w:bidi w:val="0"/>
        <w:rPr>
          <w:rFonts w:ascii="Arial" w:hAnsi="Arial" w:eastAsia="Arial" w:cs="Arial"/>
          <w:b/>
          <w:bCs/>
          <w:color w:val="000000"/>
          <w:szCs w:val="22"/>
          <w:u w:val="single"/>
        </w:rPr>
      </w:pPr>
      <w:r>
        <w:rPr>
          <w:rFonts w:ascii="Arial" w:hAnsi="Arial" w:eastAsia="Arial" w:cs="Arial"/>
          <w:b/>
          <w:bCs/>
          <w:color w:val="000000"/>
          <w:szCs w:val="22"/>
          <w:u w:val="single"/>
        </w:rPr>
        <w:t>Proyeccion de mercado</w:t>
      </w:r>
    </w:p>
    <w:p w14:paraId="32092484">
      <w:pPr>
        <w:bidi w:val="0"/>
      </w:pPr>
      <w:r>
        <w:rPr>
          <w:rFonts w:hint="default"/>
        </w:rPr>
        <w:t xml:space="preserve">Considerando un mercado potencial de 14.6 millones de adultos mexicanos con diabetes , se estima una penetración conservadora del 0.5% en el primer año de operación, lo que representa 73,000 usuarios activos. Para garantizar la sostenibilidad financiera y el impacto social en diversos estratos económicos, esta meta se divide en tres segmentos estratégicos de adquisición: </w:t>
      </w:r>
    </w:p>
    <w:p w14:paraId="6561F1FF">
      <w:pPr>
        <w:bidi w:val="0"/>
        <w:rPr>
          <w:rFonts w:hint="default"/>
        </w:rPr>
      </w:pPr>
    </w:p>
    <w:p w14:paraId="35EE218A">
      <w:pPr>
        <w:bidi w:val="0"/>
        <w:rPr>
          <w:rFonts w:hint="default"/>
        </w:rPr>
      </w:pPr>
      <w:r>
        <w:rPr>
          <w:rFonts w:hint="default"/>
        </w:rPr>
        <w:t xml:space="preserve">Segmento A (Volumen): 50,000 usuarios en el plan básico soportado por anuncios. Este nivel permite el acceso masivo a la tecnología de prevención mientras genera datos anonimizados para investigación estadística y salud pública. </w:t>
      </w:r>
    </w:p>
    <w:p w14:paraId="4FBDC834">
      <w:pPr>
        <w:bidi w:val="0"/>
        <w:rPr>
          <w:rFonts w:hint="default"/>
        </w:rPr>
      </w:pPr>
    </w:p>
    <w:p w14:paraId="6DC12D2B">
      <w:pPr>
        <w:bidi w:val="0"/>
        <w:rPr>
          <w:rFonts w:hint="default"/>
        </w:rPr>
      </w:pPr>
      <w:r>
        <w:rPr>
          <w:rFonts w:hint="default"/>
        </w:rPr>
        <w:t xml:space="preserve">Segmento B (Recurrencia): 20,000 suscriptores en el modelo Premium (estimado en $149 MXN/mes). Este segmento asegura un flujo de caja constante para el mantenimiento técnico de la infraestructura. </w:t>
      </w:r>
    </w:p>
    <w:p w14:paraId="20F0BB8E">
      <w:pPr>
        <w:bidi w:val="0"/>
        <w:rPr>
          <w:rFonts w:hint="default"/>
        </w:rPr>
      </w:pPr>
    </w:p>
    <w:p w14:paraId="37C451DF">
      <w:pPr>
        <w:bidi w:val="0"/>
        <w:rPr>
          <w:rFonts w:hint="default"/>
        </w:rPr>
      </w:pPr>
      <w:r>
        <w:rPr>
          <w:rFonts w:hint="default"/>
        </w:rPr>
        <w:t xml:space="preserve">Segmento C (Cofre): 3,000 ventas de acceso vitalicio (Pago Único de $1,999 MXN). Esta opción está diseñada para usuarios que prefieren evitar compromisos recurrentes, permitiendo a la startup una capitalización inmediata para el desarrollo de nuevas funciones. </w:t>
      </w:r>
    </w:p>
    <w:p w14:paraId="466BE3AD">
      <w:pPr>
        <w:bidi w:val="0"/>
        <w:rPr>
          <w:rFonts w:hint="default"/>
        </w:rPr>
      </w:pPr>
    </w:p>
    <w:p w14:paraId="223C24E6">
      <w:pPr>
        <w:bidi w:val="0"/>
        <w:rPr>
          <w:rFonts w:hint="default"/>
        </w:rPr>
      </w:pPr>
      <w:r>
        <w:rPr>
          <w:rFonts w:hint="default"/>
        </w:rPr>
        <w:t>Con una estrategia de crecimiento anual proyectada entre el 25% y el 30% , y mediante el establecimiento de alianzas estratégicas con instituciones públicas como el IMSS e ISSSTE , se proyecta alcanzar una base de 200,000 usuarios en un horizonte de 3 años</w:t>
      </w:r>
    </w:p>
    <w:p w14:paraId="33C64DDA">
      <w:pPr>
        <w:spacing w:before="80" w:after="80"/>
        <w:jc w:val="left"/>
        <w:rPr>
          <w:rFonts w:hint="default"/>
          <w:u w:val="single"/>
          <w:lang w:val="es-MX"/>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AA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1965D415">
            <w:pPr>
              <w:jc w:val="center"/>
            </w:pPr>
            <w:r>
              <w:rPr>
                <w:rFonts w:ascii="Arial" w:hAnsi="Arial" w:eastAsia="Arial" w:cs="Arial"/>
                <w:b/>
                <w:bCs/>
                <w:color w:val="000000" w:themeColor="text1"/>
                <w:sz w:val="22"/>
                <w:szCs w:val="22"/>
                <w14:textFill>
                  <w14:solidFill>
                    <w14:schemeClr w14:val="tx1"/>
                  </w14:solidFill>
                </w14:textFill>
              </w:rPr>
              <w:t>EL. SSH.  Cumplimiento regulatorio y mitigacion de riesgos normativos</w:t>
            </w:r>
          </w:p>
        </w:tc>
      </w:tr>
    </w:tbl>
    <w:p w14:paraId="43323C95">
      <w:pPr>
        <w:spacing w:before="24" w:after="24"/>
      </w:pPr>
    </w:p>
    <w:p w14:paraId="30744D2E">
      <w:pPr>
        <w:pStyle w:val="15"/>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sz w:val="24"/>
          <w:szCs w:val="24"/>
        </w:rPr>
        <w:t xml:space="preserve">El MVP presentado se clasifica como una </w:t>
      </w:r>
      <w:r>
        <w:rPr>
          <w:rFonts w:hint="default" w:ascii="Arial" w:hAnsi="Arial" w:eastAsia="sans-serif" w:cs="Arial"/>
          <w:b/>
          <w:bCs/>
          <w:sz w:val="24"/>
          <w:szCs w:val="24"/>
        </w:rPr>
        <w:t>herramienta de apoyo al autocuidado y bienestar</w:t>
      </w:r>
      <w:r>
        <w:rPr>
          <w:rFonts w:hint="default" w:ascii="Arial" w:hAnsi="Arial" w:eastAsia="sans-serif" w:cs="Arial"/>
          <w:sz w:val="24"/>
          <w:szCs w:val="24"/>
        </w:rPr>
        <w:t xml:space="preserve">, no como un dispositivo de diagnóstico clínico, lo cual reduce significativamente los requisitos de registro sanitario ante COFEPRIS en esta etapa. </w:t>
      </w:r>
    </w:p>
    <w:p w14:paraId="6C07087D">
      <w:pPr>
        <w:pStyle w:val="15"/>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b/>
          <w:bCs/>
          <w:sz w:val="24"/>
          <w:szCs w:val="24"/>
        </w:rPr>
        <w:t>Privacidad:</w:t>
      </w:r>
      <w:r>
        <w:rPr>
          <w:rFonts w:hint="default" w:ascii="Arial" w:hAnsi="Arial" w:eastAsia="sans-serif" w:cs="Arial"/>
          <w:sz w:val="24"/>
          <w:szCs w:val="24"/>
        </w:rPr>
        <w:t xml:space="preserve"> Cumple con la LFPDPPP al procesar todos los datos sensibles (glucosa y voz) de forma local en el dispositivo, sin envío a servidores externos. </w:t>
      </w:r>
    </w:p>
    <w:p w14:paraId="0F093363">
      <w:pPr>
        <w:pStyle w:val="15"/>
        <w:keepNext w:val="0"/>
        <w:keepLines w:val="0"/>
        <w:widowControl/>
        <w:suppressLineNumbers w:val="0"/>
        <w:spacing w:before="0" w:beforeAutospacing="0" w:line="14" w:lineRule="atLeast"/>
      </w:pPr>
      <w:r>
        <w:rPr>
          <w:rFonts w:hint="default" w:ascii="Arial" w:hAnsi="Arial" w:eastAsia="sans-serif" w:cs="Arial"/>
          <w:b/>
          <w:bCs/>
          <w:sz w:val="24"/>
          <w:szCs w:val="24"/>
        </w:rPr>
        <w:t>Ética:</w:t>
      </w:r>
      <w:r>
        <w:rPr>
          <w:rFonts w:hint="default" w:ascii="Arial" w:hAnsi="Arial" w:eastAsia="sans-serif" w:cs="Arial"/>
          <w:sz w:val="24"/>
          <w:szCs w:val="24"/>
        </w:rPr>
        <w:t xml:space="preserve"> Se alinea con los principios de IA explicable, informando siempre que las tendencias son estimaciones basadas en datos históricos de apoyo educativo.</w:t>
      </w:r>
    </w:p>
    <w:p w14:paraId="5578D36C">
      <w:pPr>
        <w:spacing w:before="80" w:after="80"/>
        <w:jc w:val="left"/>
      </w:pPr>
      <w:r>
        <w:rPr>
          <w:rFonts w:ascii="Arial" w:hAnsi="Arial" w:eastAsia="Arial" w:cs="Arial"/>
          <w:b/>
          <w:bCs/>
          <w:color w:val="000000"/>
          <w:sz w:val="22"/>
          <w:szCs w:val="22"/>
        </w:rPr>
        <w:t>Marco normativo aplicado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DD0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337C9899">
            <w:pPr>
              <w:jc w:val="left"/>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Norma / Ley</w:t>
            </w:r>
          </w:p>
        </w:tc>
        <w:tc>
          <w:tcPr>
            <w:tcW w:w="624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7A4B3E56">
            <w:pPr>
              <w:jc w:val="left"/>
              <w:rPr>
                <w:rFonts w:hint="default"/>
                <w:color w:val="000000" w:themeColor="text1"/>
                <w:lang w:val="es-MX"/>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Aplicacion en </w:t>
            </w:r>
            <w:r>
              <w:rPr>
                <w:rFonts w:cs="Arial"/>
                <w:b/>
                <w:bCs/>
                <w:color w:val="000000" w:themeColor="text1"/>
                <w:sz w:val="22"/>
                <w:szCs w:val="22"/>
                <w:lang w:val="es-MX"/>
                <w14:textFill>
                  <w14:solidFill>
                    <w14:schemeClr w14:val="tx1"/>
                  </w14:solidFill>
                </w14:textFill>
              </w:rPr>
              <w:t>GlucoGen</w:t>
            </w:r>
          </w:p>
        </w:tc>
      </w:tr>
      <w:tr w14:paraId="4A60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7C4D53F">
            <w:pPr>
              <w:jc w:val="left"/>
            </w:pPr>
            <w:r>
              <w:rPr>
                <w:rFonts w:ascii="Arial" w:hAnsi="Arial" w:eastAsia="Arial" w:cs="Arial"/>
                <w:b w:val="0"/>
                <w:bCs w:val="0"/>
                <w:color w:val="000000"/>
                <w:sz w:val="22"/>
                <w:szCs w:val="22"/>
              </w:rPr>
              <w:t>NOM-015-SSA2-2010</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6BED093D">
            <w:pPr>
              <w:jc w:val="left"/>
            </w:pPr>
            <w:r>
              <w:rPr>
                <w:rFonts w:ascii="Arial" w:hAnsi="Arial" w:eastAsia="Arial" w:cs="Arial"/>
                <w:b w:val="0"/>
                <w:bCs w:val="0"/>
                <w:color w:val="000000"/>
                <w:sz w:val="22"/>
                <w:szCs w:val="22"/>
              </w:rPr>
              <w:t xml:space="preserve">Lineamientos de prevencion, tratamiento y control de diabetes mellitus. </w:t>
            </w:r>
            <w:r>
              <w:rPr>
                <w:rFonts w:cs="Arial"/>
                <w:b w:val="0"/>
                <w:bCs w:val="0"/>
                <w:color w:val="000000"/>
                <w:sz w:val="22"/>
                <w:szCs w:val="22"/>
                <w:lang w:val="es-MX"/>
              </w:rPr>
              <w:t>GlucoGen</w:t>
            </w:r>
            <w:r>
              <w:rPr>
                <w:rFonts w:ascii="Arial" w:hAnsi="Arial" w:eastAsia="Arial" w:cs="Arial"/>
                <w:b w:val="0"/>
                <w:bCs w:val="0"/>
                <w:color w:val="000000"/>
                <w:sz w:val="22"/>
                <w:szCs w:val="22"/>
              </w:rPr>
              <w:t xml:space="preserve"> apoya el automonitoreo y el conteo de carbohidratos indicados en esta norma.</w:t>
            </w:r>
          </w:p>
        </w:tc>
      </w:tr>
      <w:tr w14:paraId="5895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FDE9A40">
            <w:pPr>
              <w:jc w:val="left"/>
            </w:pPr>
            <w:r>
              <w:rPr>
                <w:rFonts w:ascii="Arial" w:hAnsi="Arial" w:eastAsia="Arial" w:cs="Arial"/>
                <w:b w:val="0"/>
                <w:bCs w:val="0"/>
                <w:color w:val="000000"/>
                <w:sz w:val="22"/>
                <w:szCs w:val="22"/>
              </w:rPr>
              <w:t>NOM-241-SSA1-2025</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BBF0B88">
            <w:pPr>
              <w:jc w:val="left"/>
            </w:pPr>
            <w:r>
              <w:rPr>
                <w:rFonts w:ascii="Arial" w:hAnsi="Arial" w:eastAsia="Arial" w:cs="Arial"/>
                <w:b w:val="0"/>
                <w:bCs w:val="0"/>
                <w:color w:val="000000"/>
                <w:sz w:val="22"/>
                <w:szCs w:val="22"/>
              </w:rPr>
              <w:t>Buenas Practicas de Fabricacion para dispositivos medicos. El ciclo de desarrollo incluye gestion de riesgos y calidad alineada a ISO 13485.</w:t>
            </w:r>
          </w:p>
        </w:tc>
      </w:tr>
      <w:tr w14:paraId="4E19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5FD36DE6">
            <w:pPr>
              <w:jc w:val="left"/>
            </w:pPr>
            <w:r>
              <w:rPr>
                <w:rFonts w:ascii="Arial" w:hAnsi="Arial" w:eastAsia="Arial" w:cs="Arial"/>
                <w:b w:val="0"/>
                <w:bCs w:val="0"/>
                <w:color w:val="000000"/>
                <w:sz w:val="22"/>
                <w:szCs w:val="22"/>
              </w:rPr>
              <w:t>NOM-004-SSA3-2012</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80D9F49">
            <w:pPr>
              <w:jc w:val="left"/>
            </w:pPr>
            <w:r>
              <w:rPr>
                <w:rFonts w:ascii="Arial" w:hAnsi="Arial" w:eastAsia="Arial" w:cs="Arial"/>
                <w:b w:val="0"/>
                <w:bCs w:val="0"/>
                <w:color w:val="000000"/>
                <w:sz w:val="22"/>
                <w:szCs w:val="22"/>
              </w:rPr>
              <w:t>Expediente clinico y consentimiento informado. Toda persona que participa en pruebas del sistema firma consentimiento informado escrito, libre y revocable.</w:t>
            </w:r>
          </w:p>
        </w:tc>
      </w:tr>
      <w:tr w14:paraId="317C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392B510B">
            <w:pPr>
              <w:jc w:val="left"/>
            </w:pPr>
            <w:r>
              <w:rPr>
                <w:rFonts w:ascii="Arial" w:hAnsi="Arial" w:eastAsia="Arial" w:cs="Arial"/>
                <w:b w:val="0"/>
                <w:bCs w:val="0"/>
                <w:color w:val="000000"/>
                <w:sz w:val="22"/>
                <w:szCs w:val="22"/>
              </w:rPr>
              <w:t>LFPDPPP (2025)</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45EA8AFE">
            <w:pPr>
              <w:jc w:val="left"/>
            </w:pPr>
            <w:r>
              <w:rPr>
                <w:rFonts w:ascii="Arial" w:hAnsi="Arial" w:eastAsia="Arial" w:cs="Arial"/>
                <w:b w:val="0"/>
                <w:bCs w:val="0"/>
                <w:color w:val="000000"/>
                <w:sz w:val="22"/>
                <w:szCs w:val="22"/>
              </w:rPr>
              <w:t xml:space="preserve">Ley Federal de Proteccion de Datos Personales. Los datos de salud son sensibles; </w:t>
            </w:r>
            <w:r>
              <w:rPr>
                <w:rFonts w:cs="Arial"/>
                <w:b w:val="0"/>
                <w:bCs w:val="0"/>
                <w:color w:val="000000"/>
                <w:sz w:val="22"/>
                <w:szCs w:val="22"/>
                <w:lang w:val="es-MX"/>
              </w:rPr>
              <w:t>GlucoGen</w:t>
            </w:r>
            <w:r>
              <w:rPr>
                <w:rFonts w:ascii="Arial" w:hAnsi="Arial" w:eastAsia="Arial" w:cs="Arial"/>
                <w:b w:val="0"/>
                <w:bCs w:val="0"/>
                <w:color w:val="000000"/>
                <w:sz w:val="22"/>
                <w:szCs w:val="22"/>
              </w:rPr>
              <w:t xml:space="preserve"> los procesa localmente, nunca en servidores externos, con cifrado AES-256 en reposo.</w:t>
            </w:r>
          </w:p>
        </w:tc>
      </w:tr>
      <w:tr w14:paraId="5F2F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0EA14AB3">
            <w:pPr>
              <w:jc w:val="left"/>
            </w:pPr>
            <w:r>
              <w:rPr>
                <w:rFonts w:ascii="Arial" w:hAnsi="Arial" w:eastAsia="Arial" w:cs="Arial"/>
                <w:b w:val="0"/>
                <w:bCs w:val="0"/>
                <w:color w:val="000000"/>
                <w:sz w:val="22"/>
                <w:szCs w:val="22"/>
              </w:rPr>
              <w:t>Lineamientos ANIA-MX (2023)</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vAlign w:val="center"/>
          </w:tcPr>
          <w:p w14:paraId="13756CBA">
            <w:pPr>
              <w:jc w:val="left"/>
            </w:pPr>
            <w:r>
              <w:rPr>
                <w:rFonts w:ascii="Arial" w:hAnsi="Arial" w:eastAsia="Arial" w:cs="Arial"/>
                <w:b w:val="0"/>
                <w:bCs w:val="0"/>
                <w:color w:val="000000"/>
                <w:sz w:val="22"/>
                <w:szCs w:val="22"/>
              </w:rPr>
              <w:t>Principios de IA etica: explicabilidad (predicciones con justificacion), no maleficencia (intervalos de confianza visibles), equidad (validado con adultos mayores).</w:t>
            </w:r>
          </w:p>
        </w:tc>
      </w:tr>
    </w:tbl>
    <w:p w14:paraId="6A4BE3E4">
      <w:pPr>
        <w:spacing w:before="80" w:after="80"/>
        <w:jc w:val="both"/>
        <w:rPr>
          <w:rFonts w:ascii="Arial" w:hAnsi="Arial" w:eastAsia="Arial" w:cs="Arial"/>
          <w:b w:val="0"/>
          <w:bCs w:val="0"/>
          <w:color w:val="000000"/>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1E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42ADD670">
            <w:pPr>
              <w:jc w:val="center"/>
            </w:pPr>
            <w:r>
              <w:rPr>
                <w:rFonts w:ascii="Arial" w:hAnsi="Arial" w:eastAsia="Arial" w:cs="Arial"/>
                <w:b/>
                <w:bCs/>
                <w:color w:val="000000" w:themeColor="text1"/>
                <w:sz w:val="22"/>
                <w:szCs w:val="22"/>
                <w14:textFill>
                  <w14:solidFill>
                    <w14:schemeClr w14:val="tx1"/>
                  </w14:solidFill>
                </w14:textFill>
              </w:rPr>
              <w:t>EL. SSH.  Fuentes consultadas</w:t>
            </w:r>
          </w:p>
        </w:tc>
      </w:tr>
    </w:tbl>
    <w:p w14:paraId="121426EA">
      <w:pPr>
        <w:spacing w:before="40" w:after="40"/>
      </w:pPr>
    </w:p>
    <w:p w14:paraId="07F024D0">
      <w:pPr>
        <w:spacing w:before="80" w:after="80"/>
        <w:jc w:val="left"/>
      </w:pPr>
      <w:r>
        <w:rPr>
          <w:rFonts w:ascii="Arial" w:hAnsi="Arial" w:eastAsia="Arial" w:cs="Arial"/>
          <w:b w:val="0"/>
          <w:bCs w:val="0"/>
          <w:color w:val="000000"/>
          <w:sz w:val="22"/>
          <w:szCs w:val="22"/>
        </w:rPr>
        <w:t>Basto-Abreu A., Lopez-Olmedo N., Rojas-Martinez R. et al. (2023). Prevalencia de prediabetes y diabetes en Mexico: Ensanut 2022. Salud Publica Mex. 65(supl 1): s163-s168. https://doi.org/10.21149/14832</w:t>
      </w:r>
    </w:p>
    <w:p w14:paraId="46953550">
      <w:pPr>
        <w:spacing w:before="80" w:after="80"/>
        <w:jc w:val="left"/>
      </w:pPr>
      <w:r>
        <w:rPr>
          <w:rFonts w:ascii="Arial" w:hAnsi="Arial" w:eastAsia="Arial" w:cs="Arial"/>
          <w:b w:val="0"/>
          <w:bCs w:val="0"/>
          <w:color w:val="000000"/>
          <w:sz w:val="22"/>
          <w:szCs w:val="22"/>
        </w:rPr>
        <w:t>Campos-Nonato I. et al. (2025). Prevalencia de diabetes y control glucemico en Mexico, Ensanut 2021-2024. Salud Publica de Mexico. https://saludpublica.mx/index.php/spm/article/view/17286</w:t>
      </w:r>
    </w:p>
    <w:p w14:paraId="0C75D5BD">
      <w:pPr>
        <w:spacing w:before="80" w:after="80"/>
        <w:jc w:val="left"/>
      </w:pPr>
      <w:r>
        <w:rPr>
          <w:rFonts w:ascii="Arial" w:hAnsi="Arial" w:eastAsia="Arial" w:cs="Arial"/>
          <w:b w:val="0"/>
          <w:bCs w:val="0"/>
          <w:color w:val="000000"/>
          <w:sz w:val="22"/>
          <w:szCs w:val="22"/>
        </w:rPr>
        <w:t>IMSS. (2024). Informe al Ejecutivo Federal y el Congreso de la Union 2024-2025. Instituto Mexicano del Seguro Social. Ciudad de Mexico.</w:t>
      </w:r>
    </w:p>
    <w:p w14:paraId="4BF7F95A">
      <w:pPr>
        <w:spacing w:before="80" w:after="80"/>
        <w:jc w:val="left"/>
      </w:pPr>
      <w:r>
        <w:rPr>
          <w:rFonts w:ascii="Arial" w:hAnsi="Arial" w:eastAsia="Arial" w:cs="Arial"/>
          <w:b w:val="0"/>
          <w:bCs w:val="0"/>
          <w:color w:val="000000"/>
          <w:sz w:val="22"/>
          <w:szCs w:val="22"/>
        </w:rPr>
        <w:t>Marling C. &amp; Bunescu R. (2020). The OhioT1DM Dataset for Blood Glucose Level Prediction: Update 2020. CEUR Workshop Proc. 2675:71-74.</w:t>
      </w:r>
    </w:p>
    <w:p w14:paraId="0F1CA77B">
      <w:pPr>
        <w:spacing w:before="80" w:after="80"/>
        <w:jc w:val="left"/>
      </w:pPr>
      <w:r>
        <w:rPr>
          <w:rFonts w:ascii="Arial" w:hAnsi="Arial" w:eastAsia="Arial" w:cs="Arial"/>
          <w:b w:val="0"/>
          <w:bCs w:val="0"/>
          <w:color w:val="000000"/>
          <w:sz w:val="22"/>
          <w:szCs w:val="22"/>
        </w:rPr>
        <w:t>Prioleau T. et al. (2023). DiaTrend: A dataset from advanced diabetes technology to enable development of novel analytic solutions. Scientific Data, 10, 556. https://doi.org/10.1038/s41597-023-02469-5</w:t>
      </w:r>
    </w:p>
    <w:p w14:paraId="21D65B2A">
      <w:pPr>
        <w:spacing w:before="80" w:after="80"/>
        <w:jc w:val="left"/>
      </w:pPr>
      <w:r>
        <w:rPr>
          <w:rFonts w:ascii="Arial" w:hAnsi="Arial" w:eastAsia="Arial" w:cs="Arial"/>
          <w:b w:val="0"/>
          <w:bCs w:val="0"/>
          <w:color w:val="000000"/>
          <w:sz w:val="22"/>
          <w:szCs w:val="22"/>
        </w:rPr>
        <w:t>Kanwal M. et al. (2023). Feature Transformation for Efficient Blood Glucose Prediction in T1DM Patients. PMC9913914. RMSE referenciado: 14.76 mg/dL a 30 min y 25.48 mg/dL a 60 min.</w:t>
      </w:r>
    </w:p>
    <w:p w14:paraId="6B21C529">
      <w:pPr>
        <w:spacing w:before="80" w:after="80"/>
        <w:jc w:val="left"/>
      </w:pPr>
      <w:r>
        <w:rPr>
          <w:rFonts w:ascii="Arial" w:hAnsi="Arial" w:eastAsia="Arial" w:cs="Arial"/>
          <w:b w:val="0"/>
          <w:bCs w:val="0"/>
          <w:color w:val="000000"/>
          <w:sz w:val="22"/>
          <w:szCs w:val="22"/>
        </w:rPr>
        <w:t>Abdin M. et al. (2024). Phi-3 Technical Report: A Highly Capable Language Model Locally on Your Phone. arXiv:2404.14219.</w:t>
      </w:r>
    </w:p>
    <w:p w14:paraId="75AE0DAC">
      <w:pPr>
        <w:spacing w:before="80" w:after="80"/>
        <w:jc w:val="left"/>
      </w:pPr>
      <w:r>
        <w:rPr>
          <w:rFonts w:ascii="Arial" w:hAnsi="Arial" w:eastAsia="Arial" w:cs="Arial"/>
          <w:b w:val="0"/>
          <w:bCs w:val="0"/>
          <w:color w:val="000000"/>
          <w:sz w:val="22"/>
          <w:szCs w:val="22"/>
        </w:rPr>
        <w:t>ggml-org. (2024). whisper.cpp: Port of OpenAI's Whisper model in C/C++. GitHub. https://github.com/ggml-org/whisper.cpp</w:t>
      </w:r>
    </w:p>
    <w:p w14:paraId="38DE1EB2">
      <w:pPr>
        <w:spacing w:before="80" w:after="80"/>
        <w:jc w:val="left"/>
      </w:pPr>
      <w:r>
        <w:rPr>
          <w:rFonts w:ascii="Arial" w:hAnsi="Arial" w:eastAsia="Arial" w:cs="Arial"/>
          <w:b w:val="0"/>
          <w:bCs w:val="0"/>
          <w:color w:val="000000"/>
          <w:sz w:val="22"/>
          <w:szCs w:val="22"/>
        </w:rPr>
        <w:t>COFEPRIS. (2023). Suplemento de Dispositivos Medicos, Farmacopea de los Estados Unidos Mexicanos, 5a edicion. Ciudad de Mexico.</w:t>
      </w:r>
    </w:p>
    <w:p w14:paraId="3008F307">
      <w:pPr>
        <w:spacing w:before="80" w:after="80"/>
        <w:jc w:val="left"/>
      </w:pPr>
      <w:r>
        <w:rPr>
          <w:rFonts w:ascii="Arial" w:hAnsi="Arial" w:eastAsia="Arial" w:cs="Arial"/>
          <w:b w:val="0"/>
          <w:bCs w:val="0"/>
          <w:color w:val="000000"/>
          <w:sz w:val="22"/>
          <w:szCs w:val="22"/>
        </w:rPr>
        <w:t>NOM-015-SSA2-2010. Norma Oficial Mexicana para la prevencion, tratamiento y control de la diabetes mellitus. DOF, 2010.</w:t>
      </w:r>
    </w:p>
    <w:p w14:paraId="18D97F0A">
      <w:pPr>
        <w:spacing w:before="80" w:after="80"/>
        <w:jc w:val="left"/>
      </w:pPr>
      <w:r>
        <w:rPr>
          <w:rFonts w:ascii="Arial" w:hAnsi="Arial" w:eastAsia="Arial" w:cs="Arial"/>
          <w:b w:val="0"/>
          <w:bCs w:val="0"/>
          <w:color w:val="000000"/>
          <w:sz w:val="22"/>
          <w:szCs w:val="22"/>
        </w:rPr>
        <w:t>LFPDPPP. (2025). Ley Federal de Proteccion de Datos Personales en Posesion de los Particulares, actualizacion 2025. Camara de Diputados.</w:t>
      </w:r>
    </w:p>
    <w:p w14:paraId="0EFF9E54">
      <w:pPr>
        <w:spacing w:before="80" w:after="80"/>
        <w:jc w:val="left"/>
      </w:pPr>
      <w:r>
        <w:rPr>
          <w:rFonts w:ascii="Arial" w:hAnsi="Arial" w:eastAsia="Arial" w:cs="Arial"/>
          <w:b w:val="0"/>
          <w:bCs w:val="0"/>
          <w:color w:val="000000"/>
          <w:sz w:val="22"/>
          <w:szCs w:val="22"/>
        </w:rPr>
        <w:t>INCMNSZ. (2023). Tablas de composicion de alimentos mexicanos. Instituto Nacional de Ciencias Medicas y Nutricion Salvador Zubiran. Ciudad de Mexico.</w:t>
      </w:r>
    </w:p>
    <w:p w14:paraId="01A803F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AB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100" w:type="dxa"/>
              <w:left w:w="150" w:type="dxa"/>
              <w:bottom w:w="100" w:type="dxa"/>
              <w:right w:w="150" w:type="dxa"/>
            </w:tcMar>
            <w:vAlign w:val="center"/>
          </w:tcPr>
          <w:p w14:paraId="4502C6E6">
            <w:pPr>
              <w:jc w:val="center"/>
            </w:pPr>
            <w:r>
              <w:rPr>
                <w:rFonts w:ascii="Arial" w:hAnsi="Arial" w:eastAsia="Arial" w:cs="Arial"/>
                <w:b/>
                <w:bCs/>
                <w:color w:val="000000" w:themeColor="text1"/>
                <w:sz w:val="22"/>
                <w:szCs w:val="22"/>
                <w14:textFill>
                  <w14:solidFill>
                    <w14:schemeClr w14:val="tx1"/>
                  </w14:solidFill>
                </w14:textFill>
              </w:rPr>
              <w:t>EL. SSH.  Resumen</w:t>
            </w:r>
          </w:p>
        </w:tc>
      </w:tr>
    </w:tbl>
    <w:p w14:paraId="3E46E9DD">
      <w:pPr>
        <w:spacing w:before="40" w:after="40"/>
      </w:pPr>
    </w:p>
    <w:p w14:paraId="3C3288E4">
      <w:pPr>
        <w:spacing w:before="80" w:after="80"/>
        <w:jc w:val="both"/>
      </w:pPr>
      <w:r>
        <w:rPr>
          <w:rFonts w:hint="default" w:ascii="Arial" w:hAnsi="Arial" w:eastAsia="SimSun" w:cs="Arial"/>
          <w:sz w:val="24"/>
          <w:szCs w:val="24"/>
        </w:rPr>
        <w:t>GlucoGen es un asistente de IA diseñado para simplificar el seguimiento de hábitos en personas con diabetes. Al integrar captura de datos por voz y OCR de glucómetros físicos, la aplicación elimina las barreras del registro manual. Su enfoque en la privacidad total (</w:t>
      </w:r>
      <w:r>
        <w:rPr>
          <w:rFonts w:hint="default" w:ascii="Arial" w:hAnsi="Arial" w:eastAsia="SimSun" w:cs="Arial"/>
          <w:i/>
          <w:iCs/>
          <w:sz w:val="24"/>
          <w:szCs w:val="24"/>
        </w:rPr>
        <w:t>offline</w:t>
      </w:r>
      <w:r>
        <w:rPr>
          <w:rFonts w:hint="default" w:ascii="Arial" w:hAnsi="Arial" w:eastAsia="SimSun" w:cs="Arial"/>
          <w:sz w:val="24"/>
          <w:szCs w:val="24"/>
        </w:rPr>
        <w:t>), la adaptación a la dieta mexicana y la visualización de tendencias preventivas la posicionan como una solución de alto impacto social para el fortalecimiento del autocuidado en México.</w:t>
      </w:r>
      <w:r>
        <w:rPr>
          <w:rFonts w:ascii="SimSun" w:hAnsi="SimSun" w:eastAsia="SimSun" w:cs="SimSun"/>
          <w:sz w:val="24"/>
          <w:szCs w:val="24"/>
        </w:rPr>
        <w:t xml:space="preserve"> </w:t>
      </w:r>
      <w:r>
        <w:rPr>
          <w:rFonts w:ascii="Arial" w:hAnsi="Arial" w:eastAsia="Arial" w:cs="Arial"/>
          <w:b w:val="0"/>
          <w:bCs w:val="0"/>
          <w:color w:val="000000"/>
          <w:sz w:val="22"/>
          <w:szCs w:val="22"/>
        </w:rPr>
        <w:t xml:space="preserve">Con 14.6 millones de personas con diabetes en Mexico y un gasto publico de 38,802 millones de pesos anuales en su atencion (IMSS 2024), </w:t>
      </w:r>
      <w:r>
        <w:rPr>
          <w:rFonts w:cs="Arial"/>
          <w:b w:val="0"/>
          <w:bCs w:val="0"/>
          <w:color w:val="000000"/>
          <w:sz w:val="22"/>
          <w:szCs w:val="22"/>
          <w:lang w:val="es-MX"/>
        </w:rPr>
        <w:t>GlucoGen</w:t>
      </w:r>
      <w:r>
        <w:rPr>
          <w:rFonts w:ascii="Arial" w:hAnsi="Arial" w:eastAsia="Arial" w:cs="Arial"/>
          <w:b w:val="0"/>
          <w:bCs w:val="0"/>
          <w:color w:val="000000"/>
          <w:sz w:val="22"/>
          <w:szCs w:val="22"/>
        </w:rPr>
        <w:t xml:space="preserve"> representa una oportunidad de impacto clinico, economico y social inmediato. Su tecnologia de edge computing, personalizacion adaptativa y explicabilidad en lenguaje natural la posicionan como la primera herramienta de prediccion glucemica disenada especificamente para la realidad metabolica, dietetica y tecnologica de Mexico.</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44EAACDA"/>
    <w:multiLevelType w:val="singleLevel"/>
    <w:tmpl w:val="44EAACDA"/>
    <w:lvl w:ilvl="0" w:tentative="0">
      <w:start w:val="1"/>
      <w:numFmt w:val="upperRoman"/>
      <w:lvlText w:val="%1."/>
      <w:lvlJc w:val="left"/>
      <w:pPr>
        <w:tabs>
          <w:tab w:val="left" w:pos="425"/>
        </w:tabs>
        <w:ind w:left="425" w:leftChars="0" w:hanging="425"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99442B"/>
    <w:rsid w:val="324547F6"/>
    <w:rsid w:val="4376171C"/>
    <w:rsid w:val="43F4231B"/>
    <w:rsid w:val="50D7326A"/>
    <w:rsid w:val="64A36E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A6B9A"/>
      <w:sz w:val="26"/>
      <w:szCs w:val="26"/>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endnote text"/>
    <w:link w:val="19"/>
    <w:semiHidden/>
    <w:unhideWhenUsed/>
    <w:qFormat/>
    <w:uiPriority w:val="99"/>
    <w:pPr>
      <w:spacing w:after="0" w:line="240" w:lineRule="auto"/>
    </w:pPr>
    <w:rPr>
      <w:rFonts w:ascii="Arial" w:hAnsi="Arial" w:eastAsia="Arial" w:cs="Arial"/>
      <w:sz w:val="20"/>
      <w:szCs w:val="20"/>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669</Words>
  <Characters>3835</Characters>
  <TotalTime>45</TotalTime>
  <ScaleCrop>false</ScaleCrop>
  <LinksUpToDate>false</LinksUpToDate>
  <CharactersWithSpaces>4479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2026-04-26T03:18:00Z</dcterms:created>
  <dc:creator>Un-named</dc:creator>
  <cp:lastModifiedBy>Max</cp:lastModifiedBy>
  <dcterms:modified xsi:type="dcterms:W3CDTF">2026-05-11T23:05:17Z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eyJoZGlkIjoiYmUwNzUyNzhkNTUyYjdiY2RiYjdlZmZmZDBiYjU3ZjIiLCJ1c2VySWQiOiIxNjY2NjY2OTQyOTc4In0=</vt:lpwstr>
  </property>
  <property fmtid="{D5CDD505-2E9C-101B-9397-08002B2CF9AE}" pid="3" name="KSOProductBuildVer">
    <vt:lpwstr>2058-12.1.0.25242</vt:lpwstr>
  </property>
  <property fmtid="{D5CDD505-2E9C-101B-9397-08002B2CF9AE}" pid="4" name="ICV">
    <vt:lpwstr>1636D09F499445458BF6C05E4FEDCB26_12</vt:lpwstr>
  </property>
</Properties>
</file>