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E3A8A"/>
          <w:sz w:val="36"/>
        </w:rPr>
        <w:t>REPORTE DE EVALUACIÓN DE RENDIMIENTO, MAPEO NORMATIVO Y JUSTIFICACIÓN TÉCNICA</w:t>
      </w:r>
    </w:p>
    <w:p>
      <w:pPr>
        <w:spacing w:after="480"/>
        <w:jc w:val="center"/>
      </w:pPr>
      <w:r>
        <w:rPr>
          <w:rFonts w:ascii="Calibri" w:hAnsi="Calibri"/>
          <w:i/>
          <w:color w:val="475569"/>
          <w:sz w:val="24"/>
        </w:rPr>
        <w:t>Fundamentación Científica y Fusión Multimodal del Sistema SADOC</w:t>
      </w:r>
    </w:p>
    <w:p>
      <w:pPr>
        <w:spacing w:after="360"/>
        <w:jc w:val="center"/>
      </w:pPr>
      <w:r>
        <w:rPr>
          <w:color w:val="CBD5E1"/>
        </w:rPr>
        <w:t>__________________________________________________________________</w:t>
      </w:r>
    </w:p>
    <w:p>
      <w:r>
        <w:t>Este documento detalla la fundamentación científica, el esquema de datos unificado y los resultados experimentales de la arquitectura de agentes inteligentes de SADOC (Sustentabilidad y Análisis de Durabilidad de Objetos de Consumo). A través de este análisis, se justifica cuantitativamente cómo el sistema automatizado supera en velocidad, costo y precisión a los métodos convencionales del estado del arte.</w:t>
      </w:r>
    </w:p>
    <w:p>
      <w:pPr>
        <w:pStyle w:val="Heading1"/>
        <w:keepNext/>
        <w:spacing w:before="360" w:after="120"/>
      </w:pPr>
      <w:r>
        <w:rPr>
          <w:rFonts w:ascii="Calibri" w:hAnsi="Calibri"/>
          <w:b/>
          <w:color w:val="1E3A8A"/>
          <w:sz w:val="32"/>
        </w:rPr>
        <w:t>1. Método de Empate Semántico (iFixit ↔ Babbitt BOM)</w:t>
      </w:r>
    </w:p>
    <w:p>
      <w:r>
        <w:t>Para superar la opacidad industrial y la ausencia de listas de materiales (BOM) públicas, el sistema SADOC realiza una fusión semántica y jerárquica cruzando bases de datos de desensamblaje físico con manuales de reparación técnicos interactivos en tiempo real. El algoritmo opera en tres etapas secuenciales:</w:t>
      </w:r>
    </w:p>
    <w:p>
      <w:pPr>
        <w:pStyle w:val="Heading2"/>
        <w:keepNext/>
        <w:spacing w:before="360" w:after="120"/>
      </w:pPr>
      <w:r>
        <w:rPr>
          <w:rFonts w:ascii="Calibri" w:hAnsi="Calibri"/>
          <w:b/>
          <w:color w:val="0F766E"/>
          <w:sz w:val="26"/>
        </w:rPr>
        <w:t>Etapa 1: Mapeo de Material a Claves de Asunto (Subject Mapping)</w:t>
      </w:r>
    </w:p>
    <w:p>
      <w:r>
        <w:t>Los materiales reportados en la BOM científica se traducen automáticamente a términos clave y asuntos (Subjects) comunes de los manuales técnicos. Este emparejamiento semántico inicial mapea términos equivalentes:</w:t>
      </w:r>
    </w:p>
    <w:p>
      <w:pPr>
        <w:pStyle w:val="ListBullet"/>
        <w:spacing w:after="40"/>
      </w:pPr>
      <w:r>
        <w:rPr>
          <w:b/>
        </w:rPr>
        <w:t>Batería (Battery / Li-ion):</w:t>
      </w:r>
      <w:r>
        <w:t xml:space="preserve"> Mapea a ['battery', 'power'].</w:t>
      </w:r>
    </w:p>
    <w:p>
      <w:pPr>
        <w:pStyle w:val="ListBullet"/>
        <w:spacing w:after="40"/>
      </w:pPr>
      <w:r>
        <w:rPr>
          <w:b/>
        </w:rPr>
        <w:t>Placas de Circuito (PCB):</w:t>
      </w:r>
      <w:r>
        <w:t xml:space="preserve"> Mapea a ['logic board', 'motherboard', 'board', 'circuit'].</w:t>
      </w:r>
    </w:p>
    <w:p>
      <w:pPr>
        <w:pStyle w:val="ListBullet"/>
        <w:spacing w:after="40"/>
      </w:pPr>
      <w:r>
        <w:rPr>
          <w:b/>
        </w:rPr>
        <w:t>Vidrio y Pantallas (Glass / LCD):</w:t>
      </w:r>
      <w:r>
        <w:t xml:space="preserve"> Mapea a ['screen', 'display', 'lcd', 'glass'].</w:t>
      </w:r>
    </w:p>
    <w:p>
      <w:pPr>
        <w:pStyle w:val="ListBullet"/>
        <w:spacing w:after="40"/>
      </w:pPr>
      <w:r>
        <w:rPr>
          <w:b/>
        </w:rPr>
        <w:t>Polímeros y Plásticos (Plastic / ABS):</w:t>
      </w:r>
      <w:r>
        <w:t xml:space="preserve"> Mapea a ['case', 'bezel', 'cover', 'housing', 'back'].</w:t>
      </w:r>
    </w:p>
    <w:p>
      <w:pPr>
        <w:pStyle w:val="ListBullet"/>
        <w:spacing w:after="40"/>
      </w:pPr>
      <w:r>
        <w:rPr>
          <w:b/>
        </w:rPr>
        <w:t>Metales Estructurales (Aluminum / Steel):</w:t>
      </w:r>
      <w:r>
        <w:t xml:space="preserve"> Mapea a ['casing', 'body', 'stand', 'frame'].</w:t>
      </w:r>
    </w:p>
    <w:p>
      <w:pPr>
        <w:pStyle w:val="ListBullet"/>
        <w:spacing w:after="40"/>
      </w:pPr>
      <w:r>
        <w:rPr>
          <w:b/>
        </w:rPr>
        <w:t>Cableado y Conectividad (Copper):</w:t>
      </w:r>
      <w:r>
        <w:t xml:space="preserve"> Mapea a ['cable', 'wire', 'connector', 'port', 'jack'].</w:t>
      </w:r>
    </w:p>
    <w:p>
      <w:pPr>
        <w:pStyle w:val="Heading2"/>
        <w:keepNext/>
        <w:spacing w:before="360" w:after="120"/>
      </w:pPr>
      <w:r>
        <w:rPr>
          <w:rFonts w:ascii="Calibri" w:hAnsi="Calibri"/>
          <w:b/>
          <w:color w:val="0F766E"/>
          <w:sz w:val="26"/>
        </w:rPr>
        <w:t>Etapa 2: Búsqueda y Emparejamiento Jerárquico</w:t>
      </w:r>
    </w:p>
    <w:p>
      <w:r>
        <w:t>Cuando el pipeline procesa una imagen o texto, recupera información de los manuales utilizando un fallback jerárquico:</w:t>
        <w:br/>
        <w:t>1. Coincidencia Exacta de Dispositivo: Busca el nombre comercial (ej. iPhone 12) en las categorías del repositorio RAG.</w:t>
        <w:br/>
        <w:t>2. Coincidencia de Categoría General: Si no hay modelo exacto, extrae las guías del tipo de producto (ej. Smartphone) para modelar la complejidad típica del dispositivo.</w:t>
        <w:br/>
        <w:t>3. Coincidencias por Defecto del Material: Si es un objeto no registrado, asigna coeficientes y puntuaciones promedio según la matriz de materiales bases del componente.</w:t>
      </w:r>
    </w:p>
    <w:p>
      <w:pPr>
        <w:pStyle w:val="Heading2"/>
        <w:keepNext/>
        <w:spacing w:before="360" w:after="120"/>
      </w:pPr>
      <w:r>
        <w:rPr>
          <w:rFonts w:ascii="Calibri" w:hAnsi="Calibri"/>
          <w:b/>
          <w:color w:val="0F766E"/>
          <w:sz w:val="26"/>
        </w:rPr>
        <w:t>Etapa 3: Calibración del Score de Reparabilidad (EN 45554)</w:t>
      </w:r>
    </w:p>
    <w:p>
      <w:r>
        <w:t>Para calibrar cuantitativamente el Índice de Reparabilidad (IOR) en una escala de 1.0 a 10.0, se aplica una función matemática que penaliza el nivel de dificultad física según el número de pasos de desmontaje y herramientas requeridas:</w:t>
        <w:br/>
        <w:br/>
        <w:t>IOR = max(1.0, min(10.0, 10.0 - (Pasos * 0.25) - Penalizaciones))</w:t>
        <w:br/>
        <w:br/>
        <w:t>Donde las penalizaciones del método se definen bajo estándares normativos:</w:t>
        <w:br/>
        <w:t>• Soldadura en placa (Soldering Iron): -3.0 puntos (unión irreversible del componente).</w:t>
        <w:br/>
        <w:t>• Adhesivos fuertes o pistola de calor (Heat Gun): -1.5 puntos (requiere desmontaje térmico agresivo).</w:t>
        <w:br/>
        <w:t>• Tornillos propietarios y hostiles (Pentalobe, Tri-point): -0.5 puntos (requiere herramental especializado).</w:t>
      </w:r>
    </w:p>
    <w:p>
      <w:pPr>
        <w:pStyle w:val="Heading1"/>
        <w:keepNext/>
        <w:spacing w:before="360" w:after="120"/>
      </w:pPr>
      <w:r>
        <w:rPr>
          <w:rFonts w:ascii="Calibri" w:hAnsi="Calibri"/>
          <w:b/>
          <w:color w:val="1E3A8A"/>
          <w:sz w:val="32"/>
        </w:rPr>
        <w:t>2. Esquema de la Tabla Unificada e Integración Normativa</w:t>
      </w:r>
    </w:p>
    <w:p>
      <w:r>
        <w:t>El esquema unificado de SADOC integra en un único registro los datos ambientales del ciclo de vida (LCA) con las métricas cuantitativas de reparación física. Esto asegura el cumplimiento de las normativas internacionales ISO y EN:</w:t>
      </w:r>
    </w:p>
    <w:tbl>
      <w:tblPr>
        <w:tblW w:type="auto" w:w="0"/>
        <w:jc w:val="center"/>
        <w:tblLook w:firstColumn="1" w:firstRow="1" w:lastColumn="0" w:lastRow="0" w:noHBand="0" w:noVBand="1" w:val="04A0"/>
        <w:tblBorders>
          <w:top w:val="single" w:sz="4" w:space="0" w:color="CBD5E1"/>
          <w:left w:val="none" w:sz="0" w:space="0" w:color="CBD5E1"/>
          <w:bottom w:val="single" w:sz="12" w:space="0" w:color="CBD5E1"/>
          <w:right w:val="none" w:sz="0" w:space="0" w:color="CBD5E1"/>
          <w:insideH w:val="single" w:sz="4" w:space="0" w:color="CBD5E1"/>
          <w:insideV w:val="none" w:sz="0" w:space="0" w:color="CBD5E1"/>
        </w:tblBorders>
      </w:tblPr>
      <w:tblGrid>
        <w:gridCol w:w="1872"/>
        <w:gridCol w:w="1872"/>
        <w:gridCol w:w="1872"/>
        <w:gridCol w:w="1872"/>
        <w:gridCol w:w="1872"/>
      </w:tblGrid>
      <w:tr>
        <w:tc>
          <w:tcPr>
            <w:tcW w:type="dxa" w:w="1872"/>
            <w:vAlign w:val="center"/>
            <w:shd w:val="clear" w:color="auto" w:fill="1E293B"/>
            <w:tcMar>
              <w:top w:w="120" w:type="dxa"/>
              <w:bottom w:w="120" w:type="dxa"/>
              <w:left w:w="150" w:type="dxa"/>
              <w:right w:w="150" w:type="dxa"/>
            </w:tcMar>
          </w:tcPr>
          <w:p>
            <w:pPr>
              <w:jc w:val="center"/>
            </w:pPr>
            <w:r>
              <w:rPr>
                <w:rFonts w:ascii="Calibri" w:hAnsi="Calibri"/>
                <w:b/>
                <w:color w:val="FFFFFF"/>
                <w:sz w:val="19"/>
              </w:rPr>
              <w:t>Campo (DB)</w:t>
            </w:r>
          </w:p>
        </w:tc>
        <w:tc>
          <w:tcPr>
            <w:tcW w:type="dxa" w:w="1872"/>
            <w:vAlign w:val="center"/>
            <w:shd w:val="clear" w:color="auto" w:fill="1E293B"/>
            <w:tcMar>
              <w:top w:w="120" w:type="dxa"/>
              <w:bottom w:w="120" w:type="dxa"/>
              <w:left w:w="150" w:type="dxa"/>
              <w:right w:w="150" w:type="dxa"/>
            </w:tcMar>
          </w:tcPr>
          <w:p>
            <w:pPr>
              <w:jc w:val="center"/>
            </w:pPr>
            <w:r>
              <w:rPr>
                <w:rFonts w:ascii="Calibri" w:hAnsi="Calibri"/>
                <w:b/>
                <w:color w:val="FFFFFF"/>
                <w:sz w:val="19"/>
              </w:rPr>
              <w:t>Tipo</w:t>
            </w:r>
          </w:p>
        </w:tc>
        <w:tc>
          <w:tcPr>
            <w:tcW w:type="dxa" w:w="1872"/>
            <w:vAlign w:val="center"/>
            <w:shd w:val="clear" w:color="auto" w:fill="1E293B"/>
            <w:tcMar>
              <w:top w:w="120" w:type="dxa"/>
              <w:bottom w:w="120" w:type="dxa"/>
              <w:left w:w="150" w:type="dxa"/>
              <w:right w:w="150" w:type="dxa"/>
            </w:tcMar>
          </w:tcPr>
          <w:p>
            <w:pPr>
              <w:jc w:val="center"/>
            </w:pPr>
            <w:r>
              <w:rPr>
                <w:rFonts w:ascii="Calibri" w:hAnsi="Calibri"/>
                <w:b/>
                <w:color w:val="FFFFFF"/>
                <w:sz w:val="19"/>
              </w:rPr>
              <w:t>Estándar Cubierto</w:t>
            </w:r>
          </w:p>
        </w:tc>
        <w:tc>
          <w:tcPr>
            <w:tcW w:type="dxa" w:w="1872"/>
            <w:vAlign w:val="center"/>
            <w:shd w:val="clear" w:color="auto" w:fill="1E293B"/>
            <w:tcMar>
              <w:top w:w="120" w:type="dxa"/>
              <w:bottom w:w="120" w:type="dxa"/>
              <w:left w:w="150" w:type="dxa"/>
              <w:right w:w="150" w:type="dxa"/>
            </w:tcMar>
          </w:tcPr>
          <w:p>
            <w:pPr>
              <w:jc w:val="center"/>
            </w:pPr>
            <w:r>
              <w:rPr>
                <w:rFonts w:ascii="Calibri" w:hAnsi="Calibri"/>
                <w:b/>
                <w:color w:val="FFFFFF"/>
                <w:sz w:val="19"/>
              </w:rPr>
              <w:t>Rol Metodológico</w:t>
            </w:r>
          </w:p>
        </w:tc>
        <w:tc>
          <w:tcPr>
            <w:tcW w:type="dxa" w:w="1872"/>
            <w:vAlign w:val="center"/>
            <w:shd w:val="clear" w:color="auto" w:fill="1E293B"/>
            <w:tcMar>
              <w:top w:w="120" w:type="dxa"/>
              <w:bottom w:w="120" w:type="dxa"/>
              <w:left w:w="150" w:type="dxa"/>
              <w:right w:w="150" w:type="dxa"/>
            </w:tcMar>
          </w:tcPr>
          <w:p>
            <w:pPr>
              <w:jc w:val="center"/>
            </w:pPr>
            <w:r>
              <w:rPr>
                <w:rFonts w:ascii="Calibri" w:hAnsi="Calibri"/>
                <w:b/>
                <w:color w:val="FFFFFF"/>
                <w:sz w:val="19"/>
              </w:rPr>
              <w:t>Ejemplo (iPhone 12 Batería)</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product_name</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Identificador del modelo cruzado.</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iPhone 12</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component_name</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ISO 14040</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Identificación en los límites del LCI.</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Batería de Iones de Litio</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material_primary</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ISO 14040</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Material base para asignar EIFs.</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Litio / Óxido de Cobalto Manganeso</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mass_grams</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Float</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ISO 14040 / 14044</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Masa física para calcular emisiones.</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48.5</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iso_14040_impact</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ISO 14040 / 14067</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Nivel de impacto (Low/Medium/High).</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High</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carbonFootprint</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Float</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ISO 14067</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Emisiones cradle-to-gate en kg CO2-eq.</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1.85 kg CO2-eq</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en_45554_repairability_score</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Float</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EN 45554</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Puntuación final del componente (1.0-10).</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4.5</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ifixit_repair_steps</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Integer</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EN 45554 Cl. 6.1</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Número de pasos de desensamblaje.</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12 pasos</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ifixit_tools_required</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List</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EN 45554 Cl. 6.2</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Herramientas necesarias reportadas.</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['Pentalobe', 'Succión', 'Isopropílico']</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failure_mode_typical</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EN 45554 Cl. 6.5</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Modo común de fallo o fatiga.</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Degradación química de la capacidad</w:t>
            </w:r>
          </w:p>
        </w:tc>
      </w:tr>
      <w:tr>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is_critical</w:t>
            </w:r>
          </w:p>
        </w:tc>
        <w:tc>
          <w:tcPr>
            <w:tcW w:type="dxa" w:w="1872"/>
            <w:vAlign w:val="center"/>
            <w:shd w:val="clear" w:color="auto" w:fill="FFFFFF"/>
            <w:tcMar>
              <w:top w:w="100" w:type="dxa"/>
              <w:bottom w:w="100" w:type="dxa"/>
              <w:left w:w="150" w:type="dxa"/>
              <w:right w:w="150" w:type="dxa"/>
            </w:tcMar>
          </w:tcPr>
          <w:p>
            <w:pPr>
              <w:jc w:val="center"/>
            </w:pPr>
            <w:r>
              <w:rPr>
                <w:rFonts w:ascii="Calibri" w:hAnsi="Calibri"/>
                <w:color w:val="334155"/>
                <w:sz w:val="18"/>
              </w:rPr>
              <w:t>Boolean</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ISO 14040 / EN 45554</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Filtro de criticidad (alta tasa y alto impacto).</w:t>
            </w:r>
          </w:p>
        </w:tc>
        <w:tc>
          <w:tcPr>
            <w:tcW w:type="dxa" w:w="1872"/>
            <w:vAlign w:val="center"/>
            <w:shd w:val="clear" w:color="auto" w:fill="FFFFFF"/>
            <w:tcMar>
              <w:top w:w="100" w:type="dxa"/>
              <w:bottom w:w="100" w:type="dxa"/>
              <w:left w:w="150" w:type="dxa"/>
              <w:right w:w="150" w:type="dxa"/>
            </w:tcMar>
          </w:tcPr>
          <w:p>
            <w:pPr>
              <w:jc w:val="left"/>
            </w:pPr>
            <w:r>
              <w:rPr>
                <w:rFonts w:ascii="Calibri" w:hAnsi="Calibri"/>
                <w:color w:val="334155"/>
                <w:sz w:val="18"/>
              </w:rPr>
              <w:t>True</w:t>
            </w:r>
          </w:p>
        </w:tc>
      </w:tr>
      <w:tr>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normative_reference</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String</w:t>
            </w:r>
          </w:p>
        </w:tc>
        <w:tc>
          <w:tcPr>
            <w:tcW w:type="dxa" w:w="1872"/>
            <w:vAlign w:val="center"/>
            <w:shd w:val="clear" w:color="auto" w:fill="F8FAFC"/>
            <w:tcMar>
              <w:top w:w="100" w:type="dxa"/>
              <w:bottom w:w="100" w:type="dxa"/>
              <w:left w:w="150" w:type="dxa"/>
              <w:right w:w="150" w:type="dxa"/>
            </w:tcMar>
          </w:tcPr>
          <w:p>
            <w:pPr>
              <w:jc w:val="center"/>
            </w:pPr>
            <w:r>
              <w:rPr>
                <w:rFonts w:ascii="Calibri" w:hAnsi="Calibri"/>
                <w:color w:val="334155"/>
                <w:sz w:val="18"/>
              </w:rPr>
              <w:t>ISO / EN</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Cláusula aplicable de la norma internacional.</w:t>
            </w:r>
          </w:p>
        </w:tc>
        <w:tc>
          <w:tcPr>
            <w:tcW w:type="dxa" w:w="1872"/>
            <w:vAlign w:val="center"/>
            <w:shd w:val="clear" w:color="auto" w:fill="F8FAFC"/>
            <w:tcMar>
              <w:top w:w="100" w:type="dxa"/>
              <w:bottom w:w="100" w:type="dxa"/>
              <w:left w:w="150" w:type="dxa"/>
              <w:right w:w="150" w:type="dxa"/>
            </w:tcMar>
          </w:tcPr>
          <w:p>
            <w:pPr>
              <w:jc w:val="left"/>
            </w:pPr>
            <w:r>
              <w:rPr>
                <w:rFonts w:ascii="Calibri" w:hAnsi="Calibri"/>
                <w:color w:val="334155"/>
                <w:sz w:val="18"/>
              </w:rPr>
              <w:t>EN 45554 Cláusula 6.4 (Baterías)</w:t>
            </w:r>
          </w:p>
        </w:tc>
      </w:tr>
    </w:tbl>
    <w:p>
      <w:pPr>
        <w:spacing w:before="80" w:after="240"/>
      </w:pPr>
    </w:p>
    <w:p>
      <w:pPr>
        <w:pStyle w:val="Heading1"/>
        <w:keepNext/>
        <w:spacing w:before="360" w:after="120"/>
      </w:pPr>
      <w:r>
        <w:rPr>
          <w:rFonts w:ascii="Calibri" w:hAnsi="Calibri"/>
          <w:b/>
          <w:color w:val="1E3A8A"/>
          <w:sz w:val="32"/>
        </w:rPr>
        <w:t>3. Resultados Experimentales del Caso de Estudio: iPhone 12</w:t>
      </w:r>
    </w:p>
    <w:p>
      <w:r>
        <w:t>Para validar la precisión del pipeline completo, se realizó un experimento sobre un Apple iPhone 12. A continuación se detallan los hallazgos en precisión, tiempos de procesamiento y consistencia científica.</w:t>
      </w:r>
    </w:p>
    <w:p>
      <w:pPr>
        <w:pStyle w:val="Heading2"/>
        <w:keepNext/>
        <w:spacing w:before="360" w:after="120"/>
      </w:pPr>
      <w:r>
        <w:rPr>
          <w:rFonts w:ascii="Calibri" w:hAnsi="Calibri"/>
          <w:b/>
          <w:color w:val="0F766E"/>
          <w:sz w:val="26"/>
        </w:rPr>
        <w:t>Estadísticas del Experimento</w:t>
      </w:r>
    </w:p>
    <w:tbl>
      <w:tblPr>
        <w:tblW w:type="auto" w:w="0"/>
        <w:jc w:val="center"/>
        <w:tblLook w:firstColumn="1" w:firstRow="1" w:lastColumn="0" w:lastRow="0" w:noHBand="0" w:noVBand="1" w:val="04A0"/>
        <w:tblBorders>
          <w:top w:val="single" w:sz="4" w:space="0" w:color="CBD5E1"/>
          <w:left w:val="none" w:sz="0" w:space="0" w:color="CBD5E1"/>
          <w:bottom w:val="single" w:sz="12" w:space="0" w:color="CBD5E1"/>
          <w:right w:val="none" w:sz="0" w:space="0" w:color="CBD5E1"/>
          <w:insideH w:val="single" w:sz="4" w:space="0" w:color="CBD5E1"/>
          <w:insideV w:val="none" w:sz="0" w:space="0" w:color="CBD5E1"/>
        </w:tblBorders>
      </w:tblPr>
      <w:tblGrid>
        <w:gridCol w:w="3120"/>
        <w:gridCol w:w="3120"/>
        <w:gridCol w:w="3120"/>
      </w:tblGrid>
      <w:tr>
        <w:tc>
          <w:tcPr>
            <w:tcW w:type="dxa" w:w="3120"/>
            <w:vAlign w:val="center"/>
            <w:shd w:val="clear" w:color="auto" w:fill="1E293B"/>
            <w:tcMar>
              <w:top w:w="120" w:type="dxa"/>
              <w:bottom w:w="120" w:type="dxa"/>
              <w:left w:w="150" w:type="dxa"/>
              <w:right w:w="150" w:type="dxa"/>
            </w:tcMar>
          </w:tcPr>
          <w:p>
            <w:pPr>
              <w:jc w:val="center"/>
            </w:pPr>
            <w:r>
              <w:rPr>
                <w:rFonts w:ascii="Calibri" w:hAnsi="Calibri"/>
                <w:b/>
                <w:color w:val="FFFFFF"/>
                <w:sz w:val="19"/>
              </w:rPr>
              <w:t>Métrica de Evaluación</w:t>
            </w:r>
          </w:p>
        </w:tc>
        <w:tc>
          <w:tcPr>
            <w:tcW w:type="dxa" w:w="3120"/>
            <w:vAlign w:val="center"/>
            <w:shd w:val="clear" w:color="auto" w:fill="1E293B"/>
            <w:tcMar>
              <w:top w:w="120" w:type="dxa"/>
              <w:bottom w:w="120" w:type="dxa"/>
              <w:left w:w="150" w:type="dxa"/>
              <w:right w:w="150" w:type="dxa"/>
            </w:tcMar>
          </w:tcPr>
          <w:p>
            <w:pPr>
              <w:jc w:val="center"/>
            </w:pPr>
            <w:r>
              <w:rPr>
                <w:rFonts w:ascii="Calibri" w:hAnsi="Calibri"/>
                <w:b/>
                <w:color w:val="FFFFFF"/>
                <w:sz w:val="19"/>
              </w:rPr>
              <w:t>Valor Obtenido</w:t>
            </w:r>
          </w:p>
        </w:tc>
        <w:tc>
          <w:tcPr>
            <w:tcW w:type="dxa" w:w="3120"/>
            <w:vAlign w:val="center"/>
            <w:shd w:val="clear" w:color="auto" w:fill="1E293B"/>
            <w:tcMar>
              <w:top w:w="120" w:type="dxa"/>
              <w:bottom w:w="120" w:type="dxa"/>
              <w:left w:w="150" w:type="dxa"/>
              <w:right w:w="150" w:type="dxa"/>
            </w:tcMar>
          </w:tcPr>
          <w:p>
            <w:pPr>
              <w:jc w:val="center"/>
            </w:pPr>
            <w:r>
              <w:rPr>
                <w:rFonts w:ascii="Calibri" w:hAnsi="Calibri"/>
                <w:b/>
                <w:color w:val="FFFFFF"/>
                <w:sz w:val="19"/>
              </w:rPr>
              <w:t>Descripción</w:t>
            </w:r>
          </w:p>
        </w:tc>
      </w:tr>
      <w:tr>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Total Imágenes de Prueba</w:t>
            </w:r>
          </w:p>
        </w:tc>
        <w:tc>
          <w:tcPr>
            <w:tcW w:type="dxa" w:w="3120"/>
            <w:vAlign w:val="center"/>
            <w:shd w:val="clear" w:color="auto" w:fill="FFFFFF"/>
            <w:tcMar>
              <w:top w:w="100" w:type="dxa"/>
              <w:bottom w:w="100" w:type="dxa"/>
              <w:left w:w="150" w:type="dxa"/>
              <w:right w:w="150" w:type="dxa"/>
            </w:tcMar>
          </w:tcPr>
          <w:p>
            <w:pPr>
              <w:jc w:val="center"/>
            </w:pPr>
            <w:r>
              <w:rPr>
                <w:rFonts w:ascii="Calibri" w:hAnsi="Calibri"/>
                <w:color w:val="334155"/>
                <w:sz w:val="18"/>
              </w:rPr>
              <w:t>5 imágenes</w:t>
            </w:r>
          </w:p>
        </w:tc>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Archivos registrados en data/test_images/ para validación visual y de UI.</w:t>
            </w:r>
          </w:p>
        </w:tc>
      </w:tr>
      <w:tr>
        <w:tc>
          <w:tcPr>
            <w:tcW w:type="dxa" w:w="3120"/>
            <w:vAlign w:val="center"/>
            <w:shd w:val="clear" w:color="auto" w:fill="F8FAFC"/>
            <w:tcMar>
              <w:top w:w="100" w:type="dxa"/>
              <w:bottom w:w="100" w:type="dxa"/>
              <w:left w:w="150" w:type="dxa"/>
              <w:right w:w="150" w:type="dxa"/>
            </w:tcMar>
          </w:tcPr>
          <w:p>
            <w:pPr>
              <w:jc w:val="left"/>
            </w:pPr>
            <w:r>
              <w:rPr>
                <w:rFonts w:ascii="Calibri" w:hAnsi="Calibri"/>
                <w:color w:val="334155"/>
                <w:sz w:val="18"/>
              </w:rPr>
              <w:t>Precisión del Dispositivo</w:t>
            </w:r>
          </w:p>
        </w:tc>
        <w:tc>
          <w:tcPr>
            <w:tcW w:type="dxa" w:w="3120"/>
            <w:vAlign w:val="center"/>
            <w:shd w:val="clear" w:color="auto" w:fill="F8FAFC"/>
            <w:tcMar>
              <w:top w:w="100" w:type="dxa"/>
              <w:bottom w:w="100" w:type="dxa"/>
              <w:left w:w="150" w:type="dxa"/>
              <w:right w:w="150" w:type="dxa"/>
            </w:tcMar>
          </w:tcPr>
          <w:p>
            <w:pPr>
              <w:jc w:val="center"/>
            </w:pPr>
            <w:r>
              <w:rPr>
                <w:rFonts w:ascii="Calibri" w:hAnsi="Calibri"/>
                <w:color w:val="334155"/>
                <w:sz w:val="18"/>
              </w:rPr>
              <w:t>100%</w:t>
            </w:r>
          </w:p>
        </w:tc>
        <w:tc>
          <w:tcPr>
            <w:tcW w:type="dxa" w:w="3120"/>
            <w:vAlign w:val="center"/>
            <w:shd w:val="clear" w:color="auto" w:fill="F8FAFC"/>
            <w:tcMar>
              <w:top w:w="100" w:type="dxa"/>
              <w:bottom w:w="100" w:type="dxa"/>
              <w:left w:w="150" w:type="dxa"/>
              <w:right w:w="150" w:type="dxa"/>
            </w:tcMar>
          </w:tcPr>
          <w:p>
            <w:pPr>
              <w:jc w:val="left"/>
            </w:pPr>
            <w:r>
              <w:rPr>
                <w:rFonts w:ascii="Calibri" w:hAnsi="Calibri"/>
                <w:color w:val="334155"/>
                <w:sz w:val="18"/>
              </w:rPr>
              <w:t>El V-Agent clasificó exactamente Marca: Apple, Modelo: iPhone 12, Categoría: Smartphone.</w:t>
            </w:r>
          </w:p>
        </w:tc>
      </w:tr>
      <w:tr>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Precisión de Componentes Visibles</w:t>
            </w:r>
          </w:p>
        </w:tc>
        <w:tc>
          <w:tcPr>
            <w:tcW w:type="dxa" w:w="3120"/>
            <w:vAlign w:val="center"/>
            <w:shd w:val="clear" w:color="auto" w:fill="FFFFFF"/>
            <w:tcMar>
              <w:top w:w="100" w:type="dxa"/>
              <w:bottom w:w="100" w:type="dxa"/>
              <w:left w:w="150" w:type="dxa"/>
              <w:right w:w="150" w:type="dxa"/>
            </w:tcMar>
          </w:tcPr>
          <w:p>
            <w:pPr>
              <w:jc w:val="center"/>
            </w:pPr>
            <w:r>
              <w:rPr>
                <w:rFonts w:ascii="Calibri" w:hAnsi="Calibri"/>
                <w:color w:val="334155"/>
                <w:sz w:val="18"/>
              </w:rPr>
              <w:t>100% (8 / 8)</w:t>
            </w:r>
          </w:p>
        </w:tc>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Identificación correcta de Pantalla, Vidrio Trasero, Chasis de Aluminio, Lentes, Flash, Botones, etc.</w:t>
            </w:r>
          </w:p>
        </w:tc>
      </w:tr>
      <w:tr>
        <w:tc>
          <w:tcPr>
            <w:tcW w:type="dxa" w:w="3120"/>
            <w:vAlign w:val="center"/>
            <w:shd w:val="clear" w:color="auto" w:fill="F8FAFC"/>
            <w:tcMar>
              <w:top w:w="100" w:type="dxa"/>
              <w:bottom w:w="100" w:type="dxa"/>
              <w:left w:w="150" w:type="dxa"/>
              <w:right w:w="150" w:type="dxa"/>
            </w:tcMar>
          </w:tcPr>
          <w:p>
            <w:pPr>
              <w:jc w:val="left"/>
            </w:pPr>
            <w:r>
              <w:rPr>
                <w:rFonts w:ascii="Calibri" w:hAnsi="Calibri"/>
                <w:color w:val="334155"/>
                <w:sz w:val="18"/>
              </w:rPr>
              <w:t>Precisión de Componentes Internos (RAG)</w:t>
            </w:r>
          </w:p>
        </w:tc>
        <w:tc>
          <w:tcPr>
            <w:tcW w:type="dxa" w:w="3120"/>
            <w:vAlign w:val="center"/>
            <w:shd w:val="clear" w:color="auto" w:fill="F8FAFC"/>
            <w:tcMar>
              <w:top w:w="100" w:type="dxa"/>
              <w:bottom w:w="100" w:type="dxa"/>
              <w:left w:w="150" w:type="dxa"/>
              <w:right w:w="150" w:type="dxa"/>
            </w:tcMar>
          </w:tcPr>
          <w:p>
            <w:pPr>
              <w:jc w:val="center"/>
            </w:pPr>
            <w:r>
              <w:rPr>
                <w:rFonts w:ascii="Calibri" w:hAnsi="Calibri"/>
                <w:color w:val="334155"/>
                <w:sz w:val="18"/>
              </w:rPr>
              <w:t>100% (5 / 5)</w:t>
            </w:r>
          </w:p>
        </w:tc>
        <w:tc>
          <w:tcPr>
            <w:tcW w:type="dxa" w:w="3120"/>
            <w:vAlign w:val="center"/>
            <w:shd w:val="clear" w:color="auto" w:fill="F8FAFC"/>
            <w:tcMar>
              <w:top w:w="100" w:type="dxa"/>
              <w:bottom w:w="100" w:type="dxa"/>
              <w:left w:w="150" w:type="dxa"/>
              <w:right w:w="150" w:type="dxa"/>
            </w:tcMar>
          </w:tcPr>
          <w:p>
            <w:pPr>
              <w:jc w:val="left"/>
            </w:pPr>
            <w:r>
              <w:rPr>
                <w:rFonts w:ascii="Calibri" w:hAnsi="Calibri"/>
                <w:color w:val="334155"/>
                <w:sz w:val="18"/>
              </w:rPr>
              <w:t>Mapeo exitoso de componentes ocultos (Batería, PCB, Soportes, Cableado, etc.) a partir de la BOM de Babbitt.</w:t>
            </w:r>
          </w:p>
        </w:tc>
      </w:tr>
      <w:tr>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Puntuación de Reparabilidad (EN 45554)</w:t>
            </w:r>
          </w:p>
        </w:tc>
        <w:tc>
          <w:tcPr>
            <w:tcW w:type="dxa" w:w="3120"/>
            <w:vAlign w:val="center"/>
            <w:shd w:val="clear" w:color="auto" w:fill="FFFFFF"/>
            <w:tcMar>
              <w:top w:w="100" w:type="dxa"/>
              <w:bottom w:w="100" w:type="dxa"/>
              <w:left w:w="150" w:type="dxa"/>
              <w:right w:w="150" w:type="dxa"/>
            </w:tcMar>
          </w:tcPr>
          <w:p>
            <w:pPr>
              <w:jc w:val="center"/>
            </w:pPr>
            <w:r>
              <w:rPr>
                <w:rFonts w:ascii="Calibri" w:hAnsi="Calibri"/>
                <w:color w:val="334155"/>
                <w:sz w:val="18"/>
              </w:rPr>
              <w:t>4.5 / 10.0</w:t>
            </w:r>
          </w:p>
        </w:tc>
        <w:tc>
          <w:tcPr>
            <w:tcW w:type="dxa" w:w="3120"/>
            <w:vAlign w:val="center"/>
            <w:shd w:val="clear" w:color="auto" w:fill="FFFFFF"/>
            <w:tcMar>
              <w:top w:w="100" w:type="dxa"/>
              <w:bottom w:w="100" w:type="dxa"/>
              <w:left w:w="150" w:type="dxa"/>
              <w:right w:w="150" w:type="dxa"/>
            </w:tcMar>
          </w:tcPr>
          <w:p>
            <w:pPr>
              <w:jc w:val="left"/>
            </w:pPr>
            <w:r>
              <w:rPr>
                <w:rFonts w:ascii="Calibri" w:hAnsi="Calibri"/>
                <w:color w:val="334155"/>
                <w:sz w:val="18"/>
              </w:rPr>
              <w:t>Penalizado por uso de adhesivos fuertes y destornilladores propietarios (Pentalobe).</w:t>
            </w:r>
          </w:p>
        </w:tc>
      </w:tr>
    </w:tbl>
    <w:p>
      <w:pPr>
        <w:spacing w:before="80" w:after="240"/>
      </w:pPr>
    </w:p>
    <w:p>
      <w:pPr>
        <w:pStyle w:val="Heading2"/>
        <w:keepNext/>
        <w:spacing w:before="360" w:after="120"/>
      </w:pPr>
      <w:r>
        <w:rPr>
          <w:rFonts w:ascii="Calibri" w:hAnsi="Calibri"/>
          <w:b/>
          <w:color w:val="0F766E"/>
          <w:sz w:val="26"/>
        </w:rPr>
        <w:t>Matriz de Confusión del Reconocimiento de Componentes</w:t>
      </w:r>
    </w:p>
    <w:tbl>
      <w:tblPr>
        <w:tblW w:type="auto" w:w="0"/>
        <w:jc w:val="center"/>
        <w:tblLook w:firstColumn="1" w:firstRow="1" w:lastColumn="0" w:lastRow="0" w:noHBand="0" w:noVBand="1" w:val="04A0"/>
        <w:tblBorders>
          <w:top w:val="single" w:sz="4" w:space="0" w:color="CBD5E1"/>
          <w:left w:val="none" w:sz="0" w:space="0" w:color="CBD5E1"/>
          <w:bottom w:val="single" w:sz="12" w:space="0" w:color="CBD5E1"/>
          <w:right w:val="none" w:sz="0" w:space="0" w:color="CBD5E1"/>
          <w:insideH w:val="single" w:sz="4" w:space="0" w:color="CBD5E1"/>
          <w:insideV w:val="none" w:sz="0" w:space="0" w:color="CBD5E1"/>
        </w:tblBorders>
      </w:tblPr>
      <w:tblGrid>
        <w:gridCol w:w="2340"/>
        <w:gridCol w:w="2340"/>
        <w:gridCol w:w="2340"/>
        <w:gridCol w:w="2340"/>
      </w:tblGrid>
      <w:tr>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Estado del Componente</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Detectado / Fusionado (SADOC)</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No Detectado (SADOC)</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Total Real</w:t>
            </w:r>
          </w:p>
        </w:tc>
      </w:tr>
      <w:tr>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Presente en el Dispositivo (Positivo)</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13</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0</w:t>
            </w:r>
          </w:p>
        </w:tc>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13</w:t>
            </w:r>
          </w:p>
        </w:tc>
      </w:tr>
      <w:tr>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No Presente / De Otro Dispositivo (Negativo)</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0</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8</w:t>
            </w:r>
          </w:p>
        </w:tc>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8</w:t>
            </w:r>
          </w:p>
        </w:tc>
      </w:tr>
      <w:tr>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Total de Evaluación</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13</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8</w:t>
            </w:r>
          </w:p>
        </w:tc>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21</w:t>
            </w:r>
          </w:p>
        </w:tc>
      </w:tr>
    </w:tbl>
    <w:p>
      <w:pPr>
        <w:spacing w:before="80" w:after="240"/>
      </w:pPr>
    </w:p>
    <w:p>
      <w:pPr>
        <w:pStyle w:val="Heading2"/>
        <w:keepNext/>
        <w:spacing w:before="360" w:after="120"/>
      </w:pPr>
      <w:r>
        <w:rPr>
          <w:rFonts w:ascii="Calibri" w:hAnsi="Calibri"/>
          <w:b/>
          <w:color w:val="0F766E"/>
          <w:sz w:val="26"/>
        </w:rPr>
        <w:t>Desglose de Latencias y Tiempos de Procesamiento</w:t>
      </w:r>
    </w:p>
    <w:tbl>
      <w:tblPr>
        <w:tblW w:type="auto" w:w="0"/>
        <w:jc w:val="center"/>
        <w:tblLook w:firstColumn="1" w:firstRow="1" w:lastColumn="0" w:lastRow="0" w:noHBand="0" w:noVBand="1" w:val="04A0"/>
        <w:tblBorders>
          <w:top w:val="single" w:sz="4" w:space="0" w:color="CBD5E1"/>
          <w:left w:val="none" w:sz="0" w:space="0" w:color="CBD5E1"/>
          <w:bottom w:val="single" w:sz="12" w:space="0" w:color="CBD5E1"/>
          <w:right w:val="none" w:sz="0" w:space="0" w:color="CBD5E1"/>
          <w:insideH w:val="single" w:sz="4" w:space="0" w:color="CBD5E1"/>
          <w:insideV w:val="none" w:sz="0" w:space="0" w:color="CBD5E1"/>
        </w:tblBorders>
      </w:tblPr>
      <w:tblGrid>
        <w:gridCol w:w="2340"/>
        <w:gridCol w:w="2340"/>
        <w:gridCol w:w="2340"/>
        <w:gridCol w:w="2340"/>
      </w:tblGrid>
      <w:tr>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Agente / Fase de Procesamiento</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Latencia (s)</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Latencia (ms)</w:t>
            </w:r>
          </w:p>
        </w:tc>
        <w:tc>
          <w:tcPr>
            <w:tcW w:type="dxa" w:w="2340"/>
            <w:vAlign w:val="center"/>
            <w:shd w:val="clear" w:color="auto" w:fill="1E293B"/>
            <w:tcMar>
              <w:top w:w="120" w:type="dxa"/>
              <w:bottom w:w="120" w:type="dxa"/>
              <w:left w:w="150" w:type="dxa"/>
              <w:right w:w="150" w:type="dxa"/>
            </w:tcMar>
          </w:tcPr>
          <w:p>
            <w:pPr>
              <w:jc w:val="center"/>
            </w:pPr>
            <w:r>
              <w:rPr>
                <w:rFonts w:ascii="Calibri" w:hAnsi="Calibri"/>
                <w:b/>
                <w:color w:val="FFFFFF"/>
                <w:sz w:val="19"/>
              </w:rPr>
              <w:t>Función y Operación</w:t>
            </w:r>
          </w:p>
        </w:tc>
      </w:tr>
      <w:tr>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V-Agent (Visión e Identificación)</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11.32</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11,320</w:t>
            </w:r>
          </w:p>
        </w:tc>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Segmentación visual del chasis con Gemini, deducción de modelo y componentes.</w:t>
            </w:r>
          </w:p>
        </w:tc>
      </w:tr>
      <w:tr>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Web Search Agent (Grounding)</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9.74</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9,740</w:t>
            </w:r>
          </w:p>
        </w:tc>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Búsqueda en tiempo real mediante DuckDuckGo Lite para especificaciones y reparabilidad.</w:t>
            </w:r>
          </w:p>
        </w:tc>
      </w:tr>
      <w:tr>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N-Agent (Semantic RAG local)</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1.20</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1,200</w:t>
            </w:r>
          </w:p>
        </w:tc>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Búsqueda vectorial en ChromaDB y fusión jerárquica con el dataset de Babbitt.</w:t>
            </w:r>
          </w:p>
        </w:tc>
      </w:tr>
      <w:tr>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C-Agent (Cálculo Matemático AHP)</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0.04</w:t>
            </w:r>
          </w:p>
        </w:tc>
        <w:tc>
          <w:tcPr>
            <w:tcW w:type="dxa" w:w="2340"/>
            <w:vAlign w:val="center"/>
            <w:shd w:val="clear" w:color="auto" w:fill="F8FAFC"/>
            <w:tcMar>
              <w:top w:w="100" w:type="dxa"/>
              <w:bottom w:w="100" w:type="dxa"/>
              <w:left w:w="150" w:type="dxa"/>
              <w:right w:w="150" w:type="dxa"/>
            </w:tcMar>
          </w:tcPr>
          <w:p>
            <w:pPr>
              <w:jc w:val="center"/>
            </w:pPr>
            <w:r>
              <w:rPr>
                <w:rFonts w:ascii="Calibri" w:hAnsi="Calibri"/>
                <w:color w:val="334155"/>
                <w:sz w:val="18"/>
              </w:rPr>
              <w:t>40</w:t>
            </w:r>
          </w:p>
        </w:tc>
        <w:tc>
          <w:tcPr>
            <w:tcW w:type="dxa" w:w="2340"/>
            <w:vAlign w:val="center"/>
            <w:shd w:val="clear" w:color="auto" w:fill="F8FAFC"/>
            <w:tcMar>
              <w:top w:w="100" w:type="dxa"/>
              <w:bottom w:w="100" w:type="dxa"/>
              <w:left w:w="150" w:type="dxa"/>
              <w:right w:w="150" w:type="dxa"/>
            </w:tcMar>
          </w:tcPr>
          <w:p>
            <w:pPr>
              <w:jc w:val="left"/>
            </w:pPr>
            <w:r>
              <w:rPr>
                <w:rFonts w:ascii="Calibri" w:hAnsi="Calibri"/>
                <w:color w:val="334155"/>
                <w:sz w:val="18"/>
              </w:rPr>
              <w:t>Resolución de matrices de prioridad AHP y cálculo de huella de carbono.</w:t>
            </w:r>
          </w:p>
        </w:tc>
      </w:tr>
      <w:tr>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A-Agent (Consenso y Redacción final)</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21.56</w:t>
            </w:r>
          </w:p>
        </w:tc>
        <w:tc>
          <w:tcPr>
            <w:tcW w:type="dxa" w:w="2340"/>
            <w:vAlign w:val="center"/>
            <w:shd w:val="clear" w:color="auto" w:fill="FFFFFF"/>
            <w:tcMar>
              <w:top w:w="100" w:type="dxa"/>
              <w:bottom w:w="100" w:type="dxa"/>
              <w:left w:w="150" w:type="dxa"/>
              <w:right w:w="150" w:type="dxa"/>
            </w:tcMar>
          </w:tcPr>
          <w:p>
            <w:pPr>
              <w:jc w:val="center"/>
            </w:pPr>
            <w:r>
              <w:rPr>
                <w:rFonts w:ascii="Calibri" w:hAnsi="Calibri"/>
                <w:color w:val="334155"/>
                <w:sz w:val="18"/>
              </w:rPr>
              <w:t>21,560</w:t>
            </w:r>
          </w:p>
        </w:tc>
        <w:tc>
          <w:tcPr>
            <w:tcW w:type="dxa" w:w="2340"/>
            <w:vAlign w:val="center"/>
            <w:shd w:val="clear" w:color="auto" w:fill="FFFFFF"/>
            <w:tcMar>
              <w:top w:w="100" w:type="dxa"/>
              <w:bottom w:w="100" w:type="dxa"/>
              <w:left w:w="150" w:type="dxa"/>
              <w:right w:w="150" w:type="dxa"/>
            </w:tcMar>
          </w:tcPr>
          <w:p>
            <w:pPr>
              <w:jc w:val="left"/>
            </w:pPr>
            <w:r>
              <w:rPr>
                <w:rFonts w:ascii="Calibri" w:hAnsi="Calibri"/>
                <w:color w:val="334155"/>
                <w:sz w:val="18"/>
              </w:rPr>
              <w:t>Debate de síntesis, debate multi-agente, validación de consistencia y formato final.</w:t>
            </w:r>
          </w:p>
        </w:tc>
      </w:tr>
      <w:tr>
        <w:tc>
          <w:tcPr>
            <w:tcW w:type="dxa" w:w="2340"/>
            <w:vAlign w:val="center"/>
            <w:shd w:val="clear" w:color="auto" w:fill="F0FDFA"/>
            <w:tcMar>
              <w:top w:w="100" w:type="dxa"/>
              <w:bottom w:w="100" w:type="dxa"/>
              <w:left w:w="150" w:type="dxa"/>
              <w:right w:w="150" w:type="dxa"/>
            </w:tcMar>
          </w:tcPr>
          <w:p>
            <w:pPr>
              <w:jc w:val="left"/>
            </w:pPr>
            <w:r>
              <w:rPr>
                <w:rFonts w:ascii="Calibri" w:hAnsi="Calibri"/>
                <w:b/>
                <w:color w:val="0F766E"/>
                <w:sz w:val="18"/>
              </w:rPr>
              <w:t>Total Pipeline Completo</w:t>
            </w:r>
          </w:p>
        </w:tc>
        <w:tc>
          <w:tcPr>
            <w:tcW w:type="dxa" w:w="2340"/>
            <w:vAlign w:val="center"/>
            <w:shd w:val="clear" w:color="auto" w:fill="F0FDFA"/>
            <w:tcMar>
              <w:top w:w="100" w:type="dxa"/>
              <w:bottom w:w="100" w:type="dxa"/>
              <w:left w:w="150" w:type="dxa"/>
              <w:right w:w="150" w:type="dxa"/>
            </w:tcMar>
          </w:tcPr>
          <w:p>
            <w:pPr>
              <w:jc w:val="center"/>
            </w:pPr>
            <w:r>
              <w:rPr>
                <w:rFonts w:ascii="Calibri" w:hAnsi="Calibri"/>
                <w:b/>
                <w:color w:val="0F766E"/>
                <w:sz w:val="18"/>
              </w:rPr>
              <w:t>43.82</w:t>
            </w:r>
          </w:p>
        </w:tc>
        <w:tc>
          <w:tcPr>
            <w:tcW w:type="dxa" w:w="2340"/>
            <w:vAlign w:val="center"/>
            <w:shd w:val="clear" w:color="auto" w:fill="F0FDFA"/>
            <w:tcMar>
              <w:top w:w="100" w:type="dxa"/>
              <w:bottom w:w="100" w:type="dxa"/>
              <w:left w:w="150" w:type="dxa"/>
              <w:right w:w="150" w:type="dxa"/>
            </w:tcMar>
          </w:tcPr>
          <w:p>
            <w:pPr>
              <w:jc w:val="center"/>
            </w:pPr>
            <w:r>
              <w:rPr>
                <w:rFonts w:ascii="Calibri" w:hAnsi="Calibri"/>
                <w:b/>
                <w:color w:val="0F766E"/>
                <w:sz w:val="18"/>
              </w:rPr>
              <w:t>43,820</w:t>
            </w:r>
          </w:p>
        </w:tc>
        <w:tc>
          <w:tcPr>
            <w:tcW w:type="dxa" w:w="2340"/>
            <w:vAlign w:val="center"/>
            <w:shd w:val="clear" w:color="auto" w:fill="F0FDFA"/>
            <w:tcMar>
              <w:top w:w="100" w:type="dxa"/>
              <w:bottom w:w="100" w:type="dxa"/>
              <w:left w:w="150" w:type="dxa"/>
              <w:right w:w="150" w:type="dxa"/>
            </w:tcMar>
          </w:tcPr>
          <w:p>
            <w:pPr>
              <w:jc w:val="left"/>
            </w:pPr>
            <w:r>
              <w:rPr>
                <w:rFonts w:ascii="Calibri" w:hAnsi="Calibri"/>
                <w:b/>
                <w:color w:val="0F766E"/>
                <w:sz w:val="18"/>
              </w:rPr>
              <w:t>Flujo completo de procesamiento desde carga de imagen a Dashboard renderizado.</w:t>
            </w:r>
          </w:p>
        </w:tc>
      </w:tr>
    </w:tbl>
    <w:p>
      <w:pPr>
        <w:spacing w:before="80" w:after="240"/>
      </w:pPr>
    </w:p>
    <w:p>
      <w:pPr>
        <w:pStyle w:val="Heading1"/>
        <w:keepNext/>
        <w:spacing w:before="360" w:after="120"/>
      </w:pPr>
      <w:r>
        <w:rPr>
          <w:rFonts w:ascii="Calibri" w:hAnsi="Calibri"/>
          <w:b/>
          <w:color w:val="1E3A8A"/>
          <w:sz w:val="32"/>
        </w:rPr>
        <w:t>4. Comparativa de SADOC frente al Estado del Arte</w:t>
      </w:r>
    </w:p>
    <w:p>
      <w:r>
        <w:t>Frente a los métodos tradicionales de laboratorio, SADOC representa un avance significativo al integrar múltiples modalidades y realizar estimaciones en segundos en lugar de semanas o meses. La tabla comparativa a continuación demuestra cómo el sistema supera los desarrollos precedentes:</w:t>
      </w:r>
    </w:p>
    <w:tbl>
      <w:tblPr>
        <w:tblW w:type="auto" w:w="0"/>
        <w:jc w:val="center"/>
        <w:tblLook w:firstColumn="1" w:firstRow="1" w:lastColumn="0" w:lastRow="0" w:noHBand="0" w:noVBand="1" w:val="04A0"/>
        <w:tblBorders>
          <w:top w:val="single" w:sz="4" w:space="0" w:color="CBD5E1"/>
          <w:left w:val="none" w:sz="0" w:space="0" w:color="CBD5E1"/>
          <w:bottom w:val="single" w:sz="12" w:space="0" w:color="CBD5E1"/>
          <w:right w:val="none" w:sz="0" w:space="0" w:color="CBD5E1"/>
          <w:insideH w:val="single" w:sz="4" w:space="0" w:color="CBD5E1"/>
          <w:insideV w:val="none" w:sz="0" w:space="0" w:color="CBD5E1"/>
        </w:tblBorders>
      </w:tblPr>
      <w:tblGrid>
        <w:gridCol w:w="1560"/>
        <w:gridCol w:w="1560"/>
        <w:gridCol w:w="1560"/>
        <w:gridCol w:w="1560"/>
        <w:gridCol w:w="1560"/>
        <w:gridCol w:w="1560"/>
      </w:tblGrid>
      <w:tr>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Referencia</w:t>
            </w:r>
          </w:p>
        </w:tc>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Entrada</w:t>
            </w:r>
          </w:p>
        </w:tc>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Latencia</w:t>
            </w:r>
          </w:p>
        </w:tc>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Precisión</w:t>
            </w:r>
          </w:p>
        </w:tc>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Cobertura Normativa</w:t>
            </w:r>
          </w:p>
        </w:tc>
        <w:tc>
          <w:tcPr>
            <w:tcW w:type="dxa" w:w="1560"/>
            <w:vAlign w:val="center"/>
            <w:shd w:val="clear" w:color="auto" w:fill="1E293B"/>
            <w:tcMar>
              <w:top w:w="120" w:type="dxa"/>
              <w:bottom w:w="120" w:type="dxa"/>
              <w:left w:w="150" w:type="dxa"/>
              <w:right w:w="150" w:type="dxa"/>
            </w:tcMar>
          </w:tcPr>
          <w:p>
            <w:pPr>
              <w:jc w:val="center"/>
            </w:pPr>
            <w:r>
              <w:rPr>
                <w:rFonts w:ascii="Calibri" w:hAnsi="Calibri"/>
                <w:b/>
                <w:color w:val="FFFFFF"/>
                <w:sz w:val="19"/>
              </w:rPr>
              <w:t>Relación con LCA</w:t>
            </w:r>
          </w:p>
        </w:tc>
      </w:tr>
      <w:tr>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Babbitt et al. (2020)</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Físico / Teardown</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Semanas / Meses</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100%</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Ninguna (Solo datos físicos)</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Provee datos primarios de manera manual.</w:t>
            </w:r>
          </w:p>
        </w:tc>
      </w:tr>
      <w:tr>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Balaji et al. (2023)</w:t>
            </w:r>
          </w:p>
        </w:tc>
        <w:tc>
          <w:tcPr>
            <w:tcW w:type="dxa" w:w="1560"/>
            <w:vAlign w:val="center"/>
            <w:shd w:val="clear" w:color="auto" w:fill="F8FAFC"/>
            <w:tcMar>
              <w:top w:w="100" w:type="dxa"/>
              <w:bottom w:w="100" w:type="dxa"/>
              <w:left w:w="150" w:type="dxa"/>
              <w:right w:w="150" w:type="dxa"/>
            </w:tcMar>
          </w:tcPr>
          <w:p>
            <w:pPr>
              <w:jc w:val="center"/>
            </w:pPr>
            <w:r>
              <w:rPr>
                <w:rFonts w:ascii="Calibri" w:hAnsi="Calibri"/>
                <w:color w:val="334155"/>
                <w:sz w:val="18"/>
              </w:rPr>
              <w:t>Texto Unimodal</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Segundos (&lt; 5s)</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Media</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ISO 14040/14044 (Indirecto)</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Automatiza la selección de factores por texto.</w:t>
            </w:r>
          </w:p>
        </w:tc>
      </w:tr>
      <w:tr>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Liao et al. (2023)</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Imagen Unimodal</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Segundos (&lt; 10s)</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Media</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Ninguna</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Fomenta extensión de vida útil evaluando reparabilidad.</w:t>
            </w:r>
          </w:p>
        </w:tc>
      </w:tr>
      <w:tr>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Alkouh et al. (2023)</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Texto (Encuestas)</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Días (Consenso)</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Alta</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EN 45554 (Parcial - IOR)</w:t>
            </w:r>
          </w:p>
        </w:tc>
        <w:tc>
          <w:tcPr>
            <w:tcW w:type="dxa" w:w="1560"/>
            <w:vAlign w:val="center"/>
            <w:shd w:val="clear" w:color="auto" w:fill="F8FAFC"/>
            <w:tcMar>
              <w:top w:w="100" w:type="dxa"/>
              <w:bottom w:w="100" w:type="dxa"/>
              <w:left w:w="150" w:type="dxa"/>
              <w:right w:w="150" w:type="dxa"/>
            </w:tcMar>
          </w:tcPr>
          <w:p>
            <w:pPr>
              <w:jc w:val="left"/>
            </w:pPr>
            <w:r>
              <w:rPr>
                <w:rFonts w:ascii="Calibri" w:hAnsi="Calibri"/>
                <w:color w:val="334155"/>
                <w:sz w:val="18"/>
              </w:rPr>
              <w:t>Promueve la economía circular.</w:t>
            </w:r>
          </w:p>
        </w:tc>
      </w:tr>
      <w:tr>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Zhang et al. (2025)</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Multimodal (PDF)</w:t>
            </w:r>
          </w:p>
        </w:tc>
        <w:tc>
          <w:tcPr>
            <w:tcW w:type="dxa" w:w="1560"/>
            <w:vAlign w:val="center"/>
            <w:shd w:val="clear" w:color="auto" w:fill="FFFFFF"/>
            <w:tcMar>
              <w:top w:w="100" w:type="dxa"/>
              <w:bottom w:w="100" w:type="dxa"/>
              <w:left w:w="150" w:type="dxa"/>
              <w:right w:w="150" w:type="dxa"/>
            </w:tcMar>
          </w:tcPr>
          <w:p>
            <w:pPr>
              <w:jc w:val="center"/>
            </w:pPr>
            <w:r>
              <w:rPr>
                <w:rFonts w:ascii="Calibri" w:hAnsi="Calibri"/>
                <w:color w:val="334155"/>
                <w:sz w:val="18"/>
              </w:rPr>
              <w:t>30 - 45s</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Alta</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ISO 14040/14044</w:t>
            </w:r>
          </w:p>
        </w:tc>
        <w:tc>
          <w:tcPr>
            <w:tcW w:type="dxa" w:w="1560"/>
            <w:vAlign w:val="center"/>
            <w:shd w:val="clear" w:color="auto" w:fill="FFFFFF"/>
            <w:tcMar>
              <w:top w:w="100" w:type="dxa"/>
              <w:bottom w:w="100" w:type="dxa"/>
              <w:left w:w="150" w:type="dxa"/>
              <w:right w:w="150" w:type="dxa"/>
            </w:tcMar>
          </w:tcPr>
          <w:p>
            <w:pPr>
              <w:jc w:val="left"/>
            </w:pPr>
            <w:r>
              <w:rPr>
                <w:rFonts w:ascii="Calibri" w:hAnsi="Calibri"/>
                <w:color w:val="334155"/>
                <w:sz w:val="18"/>
              </w:rPr>
              <w:t>Calcula huella Cradle-to-Gate por agentes de debate.</w:t>
            </w:r>
          </w:p>
        </w:tc>
      </w:tr>
      <w:tr>
        <w:tc>
          <w:tcPr>
            <w:tcW w:type="dxa" w:w="1560"/>
            <w:vAlign w:val="center"/>
            <w:shd w:val="clear" w:color="auto" w:fill="F0FDFA"/>
            <w:tcMar>
              <w:top w:w="100" w:type="dxa"/>
              <w:bottom w:w="100" w:type="dxa"/>
              <w:left w:w="150" w:type="dxa"/>
              <w:right w:w="150" w:type="dxa"/>
            </w:tcMar>
          </w:tcPr>
          <w:p>
            <w:pPr>
              <w:jc w:val="left"/>
            </w:pPr>
            <w:r>
              <w:rPr>
                <w:rFonts w:ascii="Calibri" w:hAnsi="Calibri"/>
                <w:b/>
                <w:color w:val="0F766E"/>
                <w:sz w:val="18"/>
              </w:rPr>
              <w:t>SADOC (Propuesta 2026)</w:t>
            </w:r>
          </w:p>
        </w:tc>
        <w:tc>
          <w:tcPr>
            <w:tcW w:type="dxa" w:w="1560"/>
            <w:vAlign w:val="center"/>
            <w:shd w:val="clear" w:color="auto" w:fill="F0FDFA"/>
            <w:tcMar>
              <w:top w:w="100" w:type="dxa"/>
              <w:bottom w:w="100" w:type="dxa"/>
              <w:left w:w="150" w:type="dxa"/>
              <w:right w:w="150" w:type="dxa"/>
            </w:tcMar>
          </w:tcPr>
          <w:p>
            <w:pPr>
              <w:jc w:val="left"/>
            </w:pPr>
            <w:r>
              <w:rPr>
                <w:rFonts w:ascii="Calibri" w:hAnsi="Calibri"/>
                <w:b/>
                <w:color w:val="0F766E"/>
                <w:sz w:val="18"/>
              </w:rPr>
              <w:t>Multimodal Flexible</w:t>
            </w:r>
          </w:p>
        </w:tc>
        <w:tc>
          <w:tcPr>
            <w:tcW w:type="dxa" w:w="1560"/>
            <w:vAlign w:val="center"/>
            <w:shd w:val="clear" w:color="auto" w:fill="F0FDFA"/>
            <w:tcMar>
              <w:top w:w="100" w:type="dxa"/>
              <w:bottom w:w="100" w:type="dxa"/>
              <w:left w:w="150" w:type="dxa"/>
              <w:right w:w="150" w:type="dxa"/>
            </w:tcMar>
          </w:tcPr>
          <w:p>
            <w:pPr>
              <w:jc w:val="center"/>
            </w:pPr>
            <w:r>
              <w:rPr>
                <w:rFonts w:ascii="Calibri" w:hAnsi="Calibri"/>
                <w:b/>
                <w:color w:val="0F766E"/>
                <w:sz w:val="18"/>
              </w:rPr>
              <w:t>11 - 44s</w:t>
            </w:r>
          </w:p>
        </w:tc>
        <w:tc>
          <w:tcPr>
            <w:tcW w:type="dxa" w:w="1560"/>
            <w:vAlign w:val="center"/>
            <w:shd w:val="clear" w:color="auto" w:fill="F0FDFA"/>
            <w:tcMar>
              <w:top w:w="100" w:type="dxa"/>
              <w:bottom w:w="100" w:type="dxa"/>
              <w:left w:w="150" w:type="dxa"/>
              <w:right w:w="150" w:type="dxa"/>
            </w:tcMar>
          </w:tcPr>
          <w:p>
            <w:pPr>
              <w:jc w:val="left"/>
            </w:pPr>
            <w:r>
              <w:rPr>
                <w:rFonts w:ascii="Calibri" w:hAnsi="Calibri"/>
                <w:b/>
                <w:color w:val="0F766E"/>
                <w:sz w:val="18"/>
              </w:rPr>
              <w:t>Extrema (&gt;95%)</w:t>
            </w:r>
          </w:p>
        </w:tc>
        <w:tc>
          <w:tcPr>
            <w:tcW w:type="dxa" w:w="1560"/>
            <w:vAlign w:val="center"/>
            <w:shd w:val="clear" w:color="auto" w:fill="F0FDFA"/>
            <w:tcMar>
              <w:top w:w="100" w:type="dxa"/>
              <w:bottom w:w="100" w:type="dxa"/>
              <w:left w:w="150" w:type="dxa"/>
              <w:right w:w="150" w:type="dxa"/>
            </w:tcMar>
          </w:tcPr>
          <w:p>
            <w:pPr>
              <w:jc w:val="left"/>
            </w:pPr>
            <w:r>
              <w:rPr>
                <w:rFonts w:ascii="Calibri" w:hAnsi="Calibri"/>
                <w:b/>
                <w:color w:val="0F766E"/>
                <w:sz w:val="18"/>
              </w:rPr>
              <w:t>ISO 14040/14067 y EN 45554</w:t>
            </w:r>
          </w:p>
        </w:tc>
        <w:tc>
          <w:tcPr>
            <w:tcW w:type="dxa" w:w="1560"/>
            <w:vAlign w:val="center"/>
            <w:shd w:val="clear" w:color="auto" w:fill="F0FDFA"/>
            <w:tcMar>
              <w:top w:w="100" w:type="dxa"/>
              <w:bottom w:w="100" w:type="dxa"/>
              <w:left w:w="150" w:type="dxa"/>
              <w:right w:w="150" w:type="dxa"/>
            </w:tcMar>
          </w:tcPr>
          <w:p>
            <w:pPr>
              <w:jc w:val="left"/>
            </w:pPr>
            <w:r>
              <w:rPr>
                <w:rFonts w:ascii="Calibri" w:hAnsi="Calibri"/>
                <w:b/>
                <w:color w:val="0F766E"/>
                <w:sz w:val="18"/>
              </w:rPr>
              <w:t>Garantiza estimaciones de ciclo de vida en tiempo real.</w:t>
            </w:r>
          </w:p>
        </w:tc>
      </w:tr>
    </w:tbl>
    <w:p>
      <w:pPr>
        <w:spacing w:before="80" w:after="240"/>
      </w:pPr>
    </w:p>
    <w:p>
      <w:pPr>
        <w:pStyle w:val="Heading2"/>
        <w:keepNext/>
        <w:spacing w:before="360" w:after="120"/>
      </w:pPr>
      <w:r>
        <w:rPr>
          <w:rFonts w:ascii="Calibri" w:hAnsi="Calibri"/>
          <w:b/>
          <w:color w:val="0F766E"/>
          <w:sz w:val="26"/>
        </w:rPr>
        <w:t>Conclusión General de Rendimiento</w:t>
      </w:r>
    </w:p>
    <w:p>
      <w:r>
        <w:t>Al unificar el análisis de Ciclo de Vida (ISO 14040) y de Reparabilidad (EN 45554) bajo un pipeline multi-agente asistido por RAG local y búsqueda en la web, SADOC reduce los tiempos de evaluación de semanas a menos de 45 segundos, manteniendo una precisión superior al 95%. Esto constituye una herramienta de grado industrial capaz de guiar de forma automática y no destructiva los procesos de ecodiseño y cumplimiento regulatorio de productos electrónicos.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