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DA31E" w14:textId="6965FDA5" w:rsidR="00547B71" w:rsidRDefault="00547B71">
      <w:pPr>
        <w:pStyle w:val="a3"/>
        <w:rPr>
          <w:rFonts w:ascii="Times New Roman"/>
        </w:rPr>
      </w:pPr>
    </w:p>
    <w:p w14:paraId="51476301" w14:textId="77777777" w:rsidR="00547B71" w:rsidRDefault="00547B71">
      <w:pPr>
        <w:pStyle w:val="a3"/>
        <w:rPr>
          <w:rFonts w:ascii="Times New Roman"/>
        </w:rPr>
      </w:pPr>
    </w:p>
    <w:p w14:paraId="3AAE048A" w14:textId="77777777" w:rsidR="00547B71" w:rsidRDefault="00547B71">
      <w:pPr>
        <w:pStyle w:val="a3"/>
        <w:spacing w:before="9"/>
        <w:rPr>
          <w:rFonts w:ascii="Times New Roman"/>
          <w:sz w:val="27"/>
        </w:rPr>
      </w:pPr>
    </w:p>
    <w:p w14:paraId="47400ABF" w14:textId="77777777" w:rsidR="00547B71" w:rsidRDefault="00547B71">
      <w:pPr>
        <w:pStyle w:val="a3"/>
        <w:rPr>
          <w:rFonts w:ascii="Times New Roman"/>
        </w:rPr>
      </w:pPr>
    </w:p>
    <w:p w14:paraId="7EE92E41" w14:textId="77777777" w:rsidR="00547B71" w:rsidRDefault="00547B71">
      <w:pPr>
        <w:pStyle w:val="a3"/>
        <w:rPr>
          <w:rFonts w:ascii="Times New Roman"/>
        </w:rPr>
      </w:pPr>
    </w:p>
    <w:p w14:paraId="52A070E4" w14:textId="77777777" w:rsidR="00547B71" w:rsidRDefault="00547B71">
      <w:pPr>
        <w:pStyle w:val="a3"/>
        <w:spacing w:before="5"/>
        <w:rPr>
          <w:rFonts w:ascii="Times New Roman"/>
          <w:sz w:val="23"/>
        </w:rPr>
      </w:pPr>
    </w:p>
    <w:p w14:paraId="7017CFA4" w14:textId="746F358B" w:rsidR="00547B71" w:rsidRDefault="00A942C3">
      <w:pPr>
        <w:spacing w:before="91"/>
        <w:ind w:left="840"/>
        <w:rPr>
          <w:b/>
          <w:sz w:val="26"/>
        </w:rPr>
      </w:pPr>
      <w:r>
        <w:rPr>
          <w:b/>
          <w:sz w:val="26"/>
        </w:rPr>
        <w:t>Table of Contents</w:t>
      </w:r>
    </w:p>
    <w:p w14:paraId="5C85A73C" w14:textId="77777777" w:rsidR="00547B71" w:rsidRDefault="00A942C3">
      <w:pPr>
        <w:tabs>
          <w:tab w:val="left" w:pos="1559"/>
        </w:tabs>
        <w:spacing w:before="98"/>
        <w:ind w:left="840"/>
      </w:pPr>
      <w:r>
        <w:rPr>
          <w:rFonts w:ascii="Times New Roman"/>
          <w:color w:val="1154CC"/>
          <w:spacing w:val="-55"/>
          <w:u w:val="single" w:color="1154CC"/>
        </w:rPr>
        <w:t xml:space="preserve"> </w:t>
      </w:r>
      <w:r>
        <w:rPr>
          <w:color w:val="1154CC"/>
          <w:u w:val="single" w:color="1154CC"/>
        </w:rPr>
        <w:t>1.0</w:t>
      </w:r>
      <w:r>
        <w:rPr>
          <w:color w:val="1154CC"/>
        </w:rPr>
        <w:tab/>
      </w:r>
      <w:r>
        <w:rPr>
          <w:rFonts w:ascii="Times New Roman"/>
          <w:color w:val="1154CC"/>
          <w:u w:val="single" w:color="1154CC"/>
        </w:rPr>
        <w:t xml:space="preserve"> </w:t>
      </w:r>
      <w:r>
        <w:rPr>
          <w:color w:val="1154CC"/>
          <w:u w:val="single" w:color="1154CC"/>
        </w:rPr>
        <w:t>Purpose</w:t>
      </w:r>
    </w:p>
    <w:p w14:paraId="0E6D8EED" w14:textId="77777777" w:rsidR="00547B71" w:rsidRDefault="00A942C3">
      <w:pPr>
        <w:tabs>
          <w:tab w:val="left" w:pos="1559"/>
        </w:tabs>
        <w:spacing w:before="17"/>
        <w:ind w:left="840"/>
      </w:pPr>
      <w:r>
        <w:rPr>
          <w:rFonts w:ascii="Times New Roman"/>
          <w:color w:val="1154CC"/>
          <w:spacing w:val="-55"/>
          <w:u w:val="single" w:color="1154CC"/>
        </w:rPr>
        <w:t xml:space="preserve"> </w:t>
      </w:r>
      <w:r>
        <w:rPr>
          <w:color w:val="1154CC"/>
          <w:u w:val="single" w:color="1154CC"/>
        </w:rPr>
        <w:t>2.0</w:t>
      </w:r>
      <w:r>
        <w:rPr>
          <w:color w:val="1154CC"/>
        </w:rPr>
        <w:tab/>
      </w:r>
      <w:r>
        <w:rPr>
          <w:rFonts w:ascii="Times New Roman"/>
          <w:color w:val="1154CC"/>
          <w:u w:val="single" w:color="1154CC"/>
        </w:rPr>
        <w:t xml:space="preserve"> </w:t>
      </w:r>
      <w:r>
        <w:rPr>
          <w:color w:val="1154CC"/>
          <w:u w:val="single" w:color="1154CC"/>
        </w:rPr>
        <w:t>Scope &amp;</w:t>
      </w:r>
      <w:r>
        <w:rPr>
          <w:color w:val="1154CC"/>
          <w:spacing w:val="-10"/>
          <w:u w:val="single" w:color="1154CC"/>
        </w:rPr>
        <w:t xml:space="preserve"> </w:t>
      </w:r>
      <w:r>
        <w:rPr>
          <w:color w:val="1154CC"/>
          <w:u w:val="single" w:color="1154CC"/>
        </w:rPr>
        <w:t>Definitions</w:t>
      </w:r>
    </w:p>
    <w:p w14:paraId="1C10E3AE" w14:textId="77777777" w:rsidR="00547B71" w:rsidRDefault="00A942C3">
      <w:pPr>
        <w:tabs>
          <w:tab w:val="left" w:pos="1559"/>
        </w:tabs>
        <w:spacing w:before="17"/>
        <w:ind w:left="840"/>
      </w:pPr>
      <w:r>
        <w:rPr>
          <w:rFonts w:ascii="Times New Roman"/>
          <w:color w:val="1154CC"/>
          <w:spacing w:val="-55"/>
          <w:u w:val="single" w:color="1154CC"/>
        </w:rPr>
        <w:t xml:space="preserve"> </w:t>
      </w:r>
      <w:r>
        <w:rPr>
          <w:color w:val="1154CC"/>
          <w:u w:val="single" w:color="1154CC"/>
        </w:rPr>
        <w:t>3.0</w:t>
      </w:r>
      <w:r>
        <w:rPr>
          <w:color w:val="1154CC"/>
        </w:rPr>
        <w:tab/>
      </w:r>
      <w:r>
        <w:rPr>
          <w:rFonts w:ascii="Times New Roman"/>
          <w:color w:val="1154CC"/>
          <w:u w:val="single" w:color="1154CC"/>
        </w:rPr>
        <w:t xml:space="preserve"> </w:t>
      </w:r>
      <w:r>
        <w:rPr>
          <w:color w:val="1154CC"/>
          <w:u w:val="single" w:color="1154CC"/>
        </w:rPr>
        <w:t>Roles &amp;</w:t>
      </w:r>
      <w:r>
        <w:rPr>
          <w:color w:val="1154CC"/>
          <w:spacing w:val="-14"/>
          <w:u w:val="single" w:color="1154CC"/>
        </w:rPr>
        <w:t xml:space="preserve"> </w:t>
      </w:r>
      <w:r>
        <w:rPr>
          <w:color w:val="1154CC"/>
          <w:u w:val="single" w:color="1154CC"/>
        </w:rPr>
        <w:t>Responsibilities</w:t>
      </w:r>
    </w:p>
    <w:p w14:paraId="4EFB4BEC" w14:textId="77777777" w:rsidR="00547B71" w:rsidRDefault="00A942C3">
      <w:pPr>
        <w:tabs>
          <w:tab w:val="left" w:pos="1559"/>
        </w:tabs>
        <w:spacing w:before="17"/>
        <w:ind w:left="840"/>
      </w:pPr>
      <w:r>
        <w:rPr>
          <w:rFonts w:ascii="Times New Roman"/>
          <w:color w:val="1154CC"/>
          <w:spacing w:val="-55"/>
          <w:u w:val="single" w:color="1154CC"/>
        </w:rPr>
        <w:t xml:space="preserve"> </w:t>
      </w:r>
      <w:r>
        <w:rPr>
          <w:color w:val="1154CC"/>
          <w:u w:val="single" w:color="1154CC"/>
        </w:rPr>
        <w:t>4.0</w:t>
      </w:r>
      <w:r>
        <w:rPr>
          <w:color w:val="1154CC"/>
        </w:rPr>
        <w:tab/>
      </w:r>
      <w:r>
        <w:rPr>
          <w:rFonts w:ascii="Times New Roman"/>
          <w:color w:val="1154CC"/>
          <w:u w:val="single" w:color="1154CC"/>
        </w:rPr>
        <w:t xml:space="preserve"> </w:t>
      </w:r>
      <w:r>
        <w:rPr>
          <w:color w:val="1154CC"/>
          <w:u w:val="single" w:color="1154CC"/>
        </w:rPr>
        <w:t>Policy</w:t>
      </w:r>
      <w:r>
        <w:rPr>
          <w:color w:val="1154CC"/>
          <w:spacing w:val="-10"/>
          <w:u w:val="single" w:color="1154CC"/>
        </w:rPr>
        <w:t xml:space="preserve"> </w:t>
      </w:r>
      <w:r>
        <w:rPr>
          <w:color w:val="1154CC"/>
          <w:u w:val="single" w:color="1154CC"/>
        </w:rPr>
        <w:t>Statements</w:t>
      </w:r>
    </w:p>
    <w:p w14:paraId="199C820A" w14:textId="77777777" w:rsidR="00547B71" w:rsidRDefault="00A942C3">
      <w:pPr>
        <w:tabs>
          <w:tab w:val="left" w:pos="1559"/>
        </w:tabs>
        <w:spacing w:before="17"/>
        <w:ind w:left="840"/>
      </w:pPr>
      <w:r>
        <w:rPr>
          <w:rFonts w:ascii="Times New Roman"/>
          <w:color w:val="1154CC"/>
          <w:spacing w:val="-55"/>
          <w:u w:val="single" w:color="1154CC"/>
        </w:rPr>
        <w:t xml:space="preserve"> </w:t>
      </w:r>
      <w:r>
        <w:rPr>
          <w:color w:val="1154CC"/>
          <w:u w:val="single" w:color="1154CC"/>
        </w:rPr>
        <w:t>5.0</w:t>
      </w:r>
      <w:r>
        <w:rPr>
          <w:color w:val="1154CC"/>
        </w:rPr>
        <w:tab/>
      </w:r>
      <w:r>
        <w:rPr>
          <w:rFonts w:ascii="Times New Roman"/>
          <w:color w:val="1154CC"/>
          <w:u w:val="single" w:color="1154CC"/>
        </w:rPr>
        <w:t xml:space="preserve"> </w:t>
      </w:r>
      <w:r>
        <w:rPr>
          <w:color w:val="1154CC"/>
          <w:u w:val="single" w:color="1154CC"/>
        </w:rPr>
        <w:t>Compliance/Exceptions/Enforcement</w:t>
      </w:r>
    </w:p>
    <w:p w14:paraId="2435834A" w14:textId="77777777" w:rsidR="00547B71" w:rsidRDefault="00A942C3">
      <w:pPr>
        <w:tabs>
          <w:tab w:val="left" w:pos="1559"/>
        </w:tabs>
        <w:spacing w:before="17"/>
        <w:ind w:left="840"/>
      </w:pPr>
      <w:r>
        <w:rPr>
          <w:rFonts w:ascii="Times New Roman"/>
          <w:color w:val="1154CC"/>
          <w:spacing w:val="-55"/>
          <w:u w:val="single" w:color="1154CC"/>
        </w:rPr>
        <w:t xml:space="preserve"> </w:t>
      </w:r>
      <w:r>
        <w:rPr>
          <w:color w:val="1154CC"/>
          <w:u w:val="single" w:color="1154CC"/>
        </w:rPr>
        <w:t>6.0</w:t>
      </w:r>
      <w:r>
        <w:rPr>
          <w:color w:val="1154CC"/>
        </w:rPr>
        <w:tab/>
      </w:r>
      <w:r>
        <w:rPr>
          <w:rFonts w:ascii="Times New Roman"/>
          <w:color w:val="1154CC"/>
          <w:u w:val="single" w:color="1154CC"/>
        </w:rPr>
        <w:t xml:space="preserve"> </w:t>
      </w:r>
      <w:r>
        <w:rPr>
          <w:color w:val="1154CC"/>
          <w:u w:val="single" w:color="1154CC"/>
        </w:rPr>
        <w:t>Review</w:t>
      </w:r>
      <w:r>
        <w:rPr>
          <w:color w:val="1154CC"/>
          <w:spacing w:val="-5"/>
          <w:u w:val="single" w:color="1154CC"/>
        </w:rPr>
        <w:t xml:space="preserve"> </w:t>
      </w:r>
      <w:r>
        <w:rPr>
          <w:color w:val="1154CC"/>
          <w:u w:val="single" w:color="1154CC"/>
        </w:rPr>
        <w:t>Cycle</w:t>
      </w:r>
    </w:p>
    <w:p w14:paraId="33FA7690" w14:textId="77777777" w:rsidR="00547B71" w:rsidRDefault="00A942C3">
      <w:pPr>
        <w:tabs>
          <w:tab w:val="left" w:pos="1559"/>
        </w:tabs>
        <w:spacing w:before="17"/>
        <w:ind w:left="840"/>
      </w:pPr>
      <w:r>
        <w:rPr>
          <w:rFonts w:ascii="Times New Roman"/>
          <w:color w:val="1154CC"/>
          <w:spacing w:val="-55"/>
          <w:u w:val="single" w:color="1154CC"/>
        </w:rPr>
        <w:t xml:space="preserve"> </w:t>
      </w:r>
      <w:r>
        <w:rPr>
          <w:color w:val="1154CC"/>
          <w:u w:val="single" w:color="1154CC"/>
        </w:rPr>
        <w:t>7.0</w:t>
      </w:r>
      <w:r>
        <w:rPr>
          <w:color w:val="1154CC"/>
        </w:rPr>
        <w:tab/>
      </w:r>
      <w:r>
        <w:rPr>
          <w:rFonts w:ascii="Times New Roman"/>
          <w:color w:val="1154CC"/>
          <w:u w:val="single" w:color="1154CC"/>
        </w:rPr>
        <w:t xml:space="preserve"> </w:t>
      </w:r>
      <w:r>
        <w:rPr>
          <w:color w:val="1154CC"/>
          <w:u w:val="single" w:color="1154CC"/>
        </w:rPr>
        <w:t>References</w:t>
      </w:r>
    </w:p>
    <w:p w14:paraId="2AA3537F" w14:textId="77777777" w:rsidR="00547B71" w:rsidRDefault="00A942C3">
      <w:pPr>
        <w:tabs>
          <w:tab w:val="left" w:pos="1559"/>
        </w:tabs>
        <w:spacing w:before="17"/>
        <w:ind w:left="840"/>
      </w:pPr>
      <w:r>
        <w:rPr>
          <w:rFonts w:ascii="Times New Roman"/>
          <w:color w:val="1154CC"/>
          <w:spacing w:val="-55"/>
          <w:u w:val="single" w:color="1154CC"/>
        </w:rPr>
        <w:t xml:space="preserve"> </w:t>
      </w:r>
      <w:r>
        <w:rPr>
          <w:color w:val="1154CC"/>
          <w:u w:val="single" w:color="1154CC"/>
        </w:rPr>
        <w:t>8.0</w:t>
      </w:r>
      <w:r>
        <w:rPr>
          <w:color w:val="1154CC"/>
        </w:rPr>
        <w:tab/>
      </w:r>
      <w:r>
        <w:rPr>
          <w:rFonts w:ascii="Times New Roman"/>
          <w:color w:val="1154CC"/>
          <w:u w:val="single" w:color="1154CC"/>
        </w:rPr>
        <w:t xml:space="preserve"> </w:t>
      </w:r>
      <w:r>
        <w:rPr>
          <w:color w:val="1154CC"/>
          <w:u w:val="single" w:color="1154CC"/>
        </w:rPr>
        <w:t>Document Version</w:t>
      </w:r>
      <w:r>
        <w:rPr>
          <w:color w:val="1154CC"/>
          <w:spacing w:val="-16"/>
          <w:u w:val="single" w:color="1154CC"/>
        </w:rPr>
        <w:t xml:space="preserve"> </w:t>
      </w:r>
      <w:r>
        <w:rPr>
          <w:color w:val="1154CC"/>
          <w:u w:val="single" w:color="1154CC"/>
        </w:rPr>
        <w:t>History</w:t>
      </w:r>
    </w:p>
    <w:p w14:paraId="56C6F92A" w14:textId="77777777" w:rsidR="00547B71" w:rsidRDefault="00547B71">
      <w:pPr>
        <w:sectPr w:rsidR="00547B71">
          <w:headerReference w:type="default" r:id="rId7"/>
          <w:footerReference w:type="default" r:id="rId8"/>
          <w:type w:val="continuous"/>
          <w:pgSz w:w="12240" w:h="15840"/>
          <w:pgMar w:top="1180" w:right="400" w:bottom="1000" w:left="240" w:header="219" w:footer="818" w:gutter="0"/>
          <w:pgNumType w:start="1"/>
          <w:cols w:space="720"/>
        </w:sectPr>
      </w:pPr>
    </w:p>
    <w:p w14:paraId="2A51ABC8" w14:textId="77777777" w:rsidR="00547B71" w:rsidRDefault="00547B71">
      <w:pPr>
        <w:pStyle w:val="a3"/>
      </w:pPr>
    </w:p>
    <w:p w14:paraId="1A37E43C" w14:textId="77777777" w:rsidR="00547B71" w:rsidRDefault="00547B71">
      <w:pPr>
        <w:pStyle w:val="a3"/>
      </w:pPr>
    </w:p>
    <w:p w14:paraId="6D3B9DB2" w14:textId="77777777" w:rsidR="00547B71" w:rsidRDefault="00A942C3">
      <w:pPr>
        <w:tabs>
          <w:tab w:val="left" w:pos="2279"/>
        </w:tabs>
        <w:spacing w:before="230"/>
        <w:ind w:left="1560"/>
        <w:rPr>
          <w:b/>
          <w:sz w:val="24"/>
        </w:rPr>
      </w:pPr>
      <w:r>
        <w:rPr>
          <w:b/>
          <w:sz w:val="24"/>
        </w:rPr>
        <w:t>1.0</w:t>
      </w:r>
      <w:r>
        <w:rPr>
          <w:b/>
          <w:sz w:val="24"/>
        </w:rPr>
        <w:tab/>
        <w:t>Purpose</w:t>
      </w:r>
    </w:p>
    <w:p w14:paraId="231DB5F2" w14:textId="77777777" w:rsidR="00547B71" w:rsidRDefault="00547B71">
      <w:pPr>
        <w:pStyle w:val="a3"/>
        <w:spacing w:before="3"/>
        <w:rPr>
          <w:b/>
          <w:sz w:val="22"/>
        </w:rPr>
      </w:pPr>
    </w:p>
    <w:p w14:paraId="45D9B731" w14:textId="77777777" w:rsidR="00547B71" w:rsidRDefault="00A942C3">
      <w:pPr>
        <w:pStyle w:val="a3"/>
        <w:spacing w:line="280" w:lineRule="auto"/>
        <w:ind w:left="2280" w:right="175"/>
      </w:pPr>
      <w:r>
        <w:t>The purpose of the policy is to establish an effective and consistent approach and framework for information security incident handling processes and procedures that are integrated into daily IT operations. Information security incident handling covers all</w:t>
      </w:r>
      <w:r>
        <w:t xml:space="preserve"> aspects of responding to information security incidents affecting, at a minimum, availability, integrity, and confidentiality of Costco Wholesale (Costco) networks, systems, applications, data, and other information assets. Incident handling includes comm</w:t>
      </w:r>
      <w:r>
        <w:t>unication on security events and weaknesses, gathering and communicating information for required regulatory disclosures, conducting analysis and investigation of the incident as needed, restoring normal business operations affected by information security</w:t>
      </w:r>
      <w:r>
        <w:t xml:space="preserve"> incidents as soon as possible, and minimizing negative impacts of information security incidents. Refer to the Information Security Incident Response Management Standard and related documents for more detailed requirements pertaining to the incident respo</w:t>
      </w:r>
      <w:r>
        <w:t>nse process.</w:t>
      </w:r>
    </w:p>
    <w:p w14:paraId="4C55A812" w14:textId="77777777" w:rsidR="00547B71" w:rsidRDefault="00547B71">
      <w:pPr>
        <w:pStyle w:val="a3"/>
        <w:spacing w:before="9"/>
        <w:rPr>
          <w:sz w:val="17"/>
        </w:rPr>
      </w:pPr>
    </w:p>
    <w:p w14:paraId="0D1D8924" w14:textId="77777777" w:rsidR="00547B71" w:rsidRDefault="00A942C3">
      <w:pPr>
        <w:pStyle w:val="1"/>
        <w:numPr>
          <w:ilvl w:val="1"/>
          <w:numId w:val="4"/>
        </w:numPr>
        <w:tabs>
          <w:tab w:val="left" w:pos="2279"/>
          <w:tab w:val="left" w:pos="2280"/>
        </w:tabs>
      </w:pPr>
      <w:r>
        <w:t>Scope &amp;</w:t>
      </w:r>
      <w:r>
        <w:rPr>
          <w:spacing w:val="-1"/>
        </w:rPr>
        <w:t xml:space="preserve"> </w:t>
      </w:r>
      <w:r>
        <w:t>Definitions</w:t>
      </w:r>
    </w:p>
    <w:p w14:paraId="4122F24F" w14:textId="77777777" w:rsidR="00547B71" w:rsidRDefault="00547B71">
      <w:pPr>
        <w:pStyle w:val="a3"/>
        <w:spacing w:before="3"/>
        <w:rPr>
          <w:b/>
          <w:sz w:val="22"/>
        </w:rPr>
      </w:pPr>
    </w:p>
    <w:p w14:paraId="74B69E6E" w14:textId="77777777" w:rsidR="00547B71" w:rsidRDefault="00A942C3">
      <w:pPr>
        <w:pStyle w:val="a3"/>
        <w:spacing w:line="280" w:lineRule="auto"/>
        <w:ind w:left="2280" w:right="144"/>
      </w:pPr>
      <w:r>
        <w:t xml:space="preserve">The scope of this policy includes all Costco-managed assets, information resources and internal users. This policy applies to all Costco’s external users accessing Costco data and assets, including vendors, suppliers and </w:t>
      </w:r>
      <w:r>
        <w:t>other third parties engaged to perform business with Costco; however, these parties’ information security incident response capabilities and obligations shall be evaluated in accordance with the Information Security Third Party Risk Management Policy and a</w:t>
      </w:r>
      <w:r>
        <w:t>re out of scope of this policy. Third parties’ information security incident handling, reporting, and collaboration obligations shall be legally binding and properly outlined in contract</w:t>
      </w:r>
      <w:r>
        <w:rPr>
          <w:spacing w:val="-13"/>
        </w:rPr>
        <w:t xml:space="preserve"> </w:t>
      </w:r>
      <w:r>
        <w:t>agreements between Costco and other</w:t>
      </w:r>
      <w:r>
        <w:rPr>
          <w:spacing w:val="-6"/>
        </w:rPr>
        <w:t xml:space="preserve"> </w:t>
      </w:r>
      <w:r>
        <w:t>parties.</w:t>
      </w:r>
    </w:p>
    <w:p w14:paraId="1CE8EB15" w14:textId="77777777" w:rsidR="00547B71" w:rsidRDefault="00547B71">
      <w:pPr>
        <w:pStyle w:val="a3"/>
        <w:spacing w:before="5"/>
        <w:rPr>
          <w:sz w:val="18"/>
        </w:rPr>
      </w:pPr>
    </w:p>
    <w:p w14:paraId="2E8F47B1" w14:textId="77777777" w:rsidR="00547B71" w:rsidRDefault="00A942C3">
      <w:pPr>
        <w:pStyle w:val="a3"/>
        <w:spacing w:line="280" w:lineRule="auto"/>
        <w:ind w:left="2280" w:right="175"/>
      </w:pPr>
      <w:r>
        <w:t xml:space="preserve">This policy applies to </w:t>
      </w:r>
      <w:r>
        <w:t>all Costco information systems and data asset users, including but not limited to: employees, vendors, consultants, 3rd party contractors and agents.</w:t>
      </w:r>
    </w:p>
    <w:p w14:paraId="49BE1A95" w14:textId="77777777" w:rsidR="00547B71" w:rsidRDefault="00547B71">
      <w:pPr>
        <w:pStyle w:val="a3"/>
        <w:spacing w:before="5"/>
        <w:rPr>
          <w:sz w:val="18"/>
        </w:rPr>
      </w:pPr>
    </w:p>
    <w:p w14:paraId="1D0E9255" w14:textId="77777777" w:rsidR="00547B71" w:rsidRDefault="00A942C3">
      <w:pPr>
        <w:pStyle w:val="a3"/>
        <w:spacing w:line="280" w:lineRule="auto"/>
        <w:ind w:left="2280" w:right="152"/>
      </w:pPr>
      <w:r>
        <w:t>Costco Information Security (IS) policies and standards are in effect for all countries unless they are superseded by specific in-country legal and policy requirements due to location regulations/circumstances. These exceptions, written and maintained in-c</w:t>
      </w:r>
      <w:r>
        <w:t>ountry, will be reviewed centrally for appropriateness before adoption. The following take precedence over the policies and standards:</w:t>
      </w:r>
    </w:p>
    <w:p w14:paraId="5310964D" w14:textId="77777777" w:rsidR="00547B71" w:rsidRDefault="00547B71">
      <w:pPr>
        <w:pStyle w:val="a3"/>
        <w:spacing w:before="7"/>
        <w:rPr>
          <w:sz w:val="23"/>
        </w:rPr>
      </w:pPr>
    </w:p>
    <w:p w14:paraId="3E62F67E" w14:textId="77777777" w:rsidR="00547B71" w:rsidRDefault="00A942C3">
      <w:pPr>
        <w:pStyle w:val="a4"/>
        <w:numPr>
          <w:ilvl w:val="2"/>
          <w:numId w:val="4"/>
        </w:numPr>
        <w:tabs>
          <w:tab w:val="left" w:pos="3126"/>
        </w:tabs>
        <w:spacing w:line="280" w:lineRule="auto"/>
        <w:ind w:right="700" w:firstLine="0"/>
        <w:rPr>
          <w:sz w:val="20"/>
        </w:rPr>
      </w:pPr>
      <w:r>
        <w:rPr>
          <w:sz w:val="20"/>
        </w:rPr>
        <w:t>Regulatory and legal statutes, laws, contractual agreements, and prescriptive</w:t>
      </w:r>
      <w:r>
        <w:rPr>
          <w:spacing w:val="-12"/>
          <w:sz w:val="20"/>
        </w:rPr>
        <w:t xml:space="preserve"> </w:t>
      </w:r>
      <w:r>
        <w:rPr>
          <w:sz w:val="20"/>
        </w:rPr>
        <w:t>and obligatory</w:t>
      </w:r>
      <w:r>
        <w:rPr>
          <w:spacing w:val="-2"/>
          <w:sz w:val="20"/>
        </w:rPr>
        <w:t xml:space="preserve"> </w:t>
      </w:r>
      <w:r>
        <w:rPr>
          <w:sz w:val="20"/>
        </w:rPr>
        <w:t>requirements</w:t>
      </w:r>
    </w:p>
    <w:p w14:paraId="7597168A" w14:textId="77777777" w:rsidR="00547B71" w:rsidRDefault="00A942C3">
      <w:pPr>
        <w:pStyle w:val="a4"/>
        <w:numPr>
          <w:ilvl w:val="2"/>
          <w:numId w:val="4"/>
        </w:numPr>
        <w:tabs>
          <w:tab w:val="left" w:pos="3126"/>
        </w:tabs>
        <w:spacing w:before="2" w:line="280" w:lineRule="auto"/>
        <w:ind w:right="199" w:firstLine="0"/>
        <w:rPr>
          <w:sz w:val="20"/>
        </w:rPr>
      </w:pPr>
      <w:r>
        <w:rPr>
          <w:sz w:val="20"/>
        </w:rPr>
        <w:t>IS policies and standards explicitly approved and adopted by in-country IS teams.</w:t>
      </w:r>
      <w:r>
        <w:rPr>
          <w:spacing w:val="-13"/>
          <w:sz w:val="20"/>
        </w:rPr>
        <w:t xml:space="preserve"> </w:t>
      </w:r>
      <w:r>
        <w:rPr>
          <w:sz w:val="20"/>
        </w:rPr>
        <w:t>Such policies and standards must clearly delineate functional</w:t>
      </w:r>
      <w:r>
        <w:rPr>
          <w:spacing w:val="-8"/>
          <w:sz w:val="20"/>
        </w:rPr>
        <w:t xml:space="preserve"> </w:t>
      </w:r>
      <w:r>
        <w:rPr>
          <w:sz w:val="20"/>
        </w:rPr>
        <w:t>responsibilities</w:t>
      </w:r>
    </w:p>
    <w:p w14:paraId="40489302" w14:textId="77777777" w:rsidR="00547B71" w:rsidRDefault="00547B71">
      <w:pPr>
        <w:spacing w:line="280" w:lineRule="auto"/>
        <w:rPr>
          <w:sz w:val="20"/>
        </w:rPr>
        <w:sectPr w:rsidR="00547B71">
          <w:pgSz w:w="12240" w:h="15840"/>
          <w:pgMar w:top="1180" w:right="960" w:bottom="1000" w:left="240" w:header="219" w:footer="818" w:gutter="0"/>
          <w:cols w:space="720"/>
        </w:sectPr>
      </w:pPr>
    </w:p>
    <w:p w14:paraId="3B3C9CB4" w14:textId="77777777" w:rsidR="00547B71" w:rsidRDefault="00547B71">
      <w:pPr>
        <w:pStyle w:val="a3"/>
      </w:pPr>
    </w:p>
    <w:p w14:paraId="1F546B3A" w14:textId="77777777" w:rsidR="00547B71" w:rsidRDefault="00547B71">
      <w:pPr>
        <w:pStyle w:val="a3"/>
      </w:pPr>
    </w:p>
    <w:p w14:paraId="04A24EA4" w14:textId="77777777" w:rsidR="00547B71" w:rsidRDefault="00547B71">
      <w:pPr>
        <w:pStyle w:val="a3"/>
      </w:pPr>
    </w:p>
    <w:p w14:paraId="61AF9064" w14:textId="77777777" w:rsidR="00547B71" w:rsidRDefault="00547B71">
      <w:pPr>
        <w:pStyle w:val="a3"/>
        <w:rPr>
          <w:sz w:val="16"/>
        </w:rPr>
      </w:pPr>
    </w:p>
    <w:p w14:paraId="2743299E" w14:textId="77777777" w:rsidR="00547B71" w:rsidRDefault="00A942C3">
      <w:pPr>
        <w:pStyle w:val="a3"/>
        <w:spacing w:before="93" w:line="280" w:lineRule="auto"/>
        <w:ind w:left="2280" w:right="118"/>
      </w:pPr>
      <w:r>
        <w:t>For the purpose of this policy and related documents, an “</w:t>
      </w:r>
      <w:r>
        <w:rPr>
          <w:b/>
        </w:rPr>
        <w:t>information securit</w:t>
      </w:r>
      <w:r>
        <w:rPr>
          <w:b/>
        </w:rPr>
        <w:t>y event</w:t>
      </w:r>
      <w:r>
        <w:t>” is defined as an unauthorized occurrence of a Costco data, device, system, service or network state indicating a possible breach of information security policy or failure of controls, or a previously unknown situation that may be information secur</w:t>
      </w:r>
      <w:r>
        <w:t>ity relevant.</w:t>
      </w:r>
    </w:p>
    <w:p w14:paraId="56A04B58" w14:textId="77777777" w:rsidR="00547B71" w:rsidRDefault="00547B71">
      <w:pPr>
        <w:pStyle w:val="a3"/>
        <w:spacing w:before="5"/>
        <w:rPr>
          <w:sz w:val="18"/>
        </w:rPr>
      </w:pPr>
    </w:p>
    <w:p w14:paraId="5E774A9B" w14:textId="77777777" w:rsidR="00547B71" w:rsidRDefault="00A942C3">
      <w:pPr>
        <w:pStyle w:val="a3"/>
        <w:spacing w:line="280" w:lineRule="auto"/>
        <w:ind w:left="2280"/>
      </w:pPr>
      <w:r>
        <w:t>An “</w:t>
      </w:r>
      <w:r>
        <w:rPr>
          <w:b/>
        </w:rPr>
        <w:t>information security incident</w:t>
      </w:r>
      <w:r>
        <w:t>” is defined as a single or a series of unwanted or unexpected information security events that have a significant probability of compromising the confidentiality, integrity, and /or availability of Costco in</w:t>
      </w:r>
      <w:r>
        <w:t>formation assets, business operations, and information security.</w:t>
      </w:r>
    </w:p>
    <w:p w14:paraId="2175FBC5" w14:textId="77777777" w:rsidR="00547B71" w:rsidRDefault="00547B71">
      <w:pPr>
        <w:pStyle w:val="a3"/>
        <w:spacing w:before="5"/>
        <w:rPr>
          <w:sz w:val="18"/>
        </w:rPr>
      </w:pPr>
    </w:p>
    <w:p w14:paraId="464877C7" w14:textId="77777777" w:rsidR="00547B71" w:rsidRDefault="00A942C3">
      <w:pPr>
        <w:pStyle w:val="a3"/>
        <w:ind w:left="2280"/>
      </w:pPr>
      <w:r>
        <w:t>“</w:t>
      </w:r>
      <w:r>
        <w:rPr>
          <w:b/>
        </w:rPr>
        <w:t>Personal Data</w:t>
      </w:r>
      <w:r>
        <w:t>” is information relating to an identified or identifiable natural person.</w:t>
      </w:r>
    </w:p>
    <w:p w14:paraId="6527E482" w14:textId="77777777" w:rsidR="00547B71" w:rsidRDefault="00547B71">
      <w:pPr>
        <w:pStyle w:val="a3"/>
        <w:spacing w:before="8"/>
        <w:rPr>
          <w:sz w:val="21"/>
        </w:rPr>
      </w:pPr>
    </w:p>
    <w:p w14:paraId="4676398D" w14:textId="77777777" w:rsidR="00547B71" w:rsidRDefault="00A942C3">
      <w:pPr>
        <w:pStyle w:val="a3"/>
        <w:spacing w:line="280" w:lineRule="auto"/>
        <w:ind w:left="2280" w:right="118"/>
      </w:pPr>
      <w:r>
        <w:t>A “</w:t>
      </w:r>
      <w:r>
        <w:rPr>
          <w:b/>
        </w:rPr>
        <w:t>Personal Data Incident</w:t>
      </w:r>
      <w:r>
        <w:t xml:space="preserve">” is an information security incident that could materially compromise the </w:t>
      </w:r>
      <w:r>
        <w:t>privacy, confidentiality, security or integrity of Personal Data, including any unauthorized disclosure of or access to Personal Data, loss or alteration of Personal Data, or unauthorized use or manipulation of Personal Data. To the extent that an informat</w:t>
      </w:r>
      <w:r>
        <w:t xml:space="preserve">ion security incident involves </w:t>
      </w:r>
      <w:r>
        <w:rPr>
          <w:i/>
        </w:rPr>
        <w:t xml:space="preserve">Restricted, Regulated, or Confidential </w:t>
      </w:r>
      <w:r>
        <w:t>data, applicable law may define what constitutes a data security breach and how it is to be managed.</w:t>
      </w:r>
    </w:p>
    <w:p w14:paraId="408AA665" w14:textId="77777777" w:rsidR="00547B71" w:rsidRDefault="00547B71">
      <w:pPr>
        <w:pStyle w:val="a3"/>
        <w:rPr>
          <w:sz w:val="22"/>
        </w:rPr>
      </w:pPr>
    </w:p>
    <w:p w14:paraId="221E582B" w14:textId="77777777" w:rsidR="00547B71" w:rsidRDefault="00547B71">
      <w:pPr>
        <w:pStyle w:val="a3"/>
        <w:rPr>
          <w:sz w:val="22"/>
        </w:rPr>
      </w:pPr>
    </w:p>
    <w:p w14:paraId="01293D8C" w14:textId="77777777" w:rsidR="00547B71" w:rsidRDefault="00A942C3">
      <w:pPr>
        <w:pStyle w:val="1"/>
        <w:tabs>
          <w:tab w:val="left" w:pos="2279"/>
        </w:tabs>
        <w:spacing w:before="178"/>
      </w:pPr>
      <w:r>
        <w:t>3.0</w:t>
      </w:r>
      <w:r>
        <w:tab/>
        <w:t>Roles &amp;</w:t>
      </w:r>
      <w:r>
        <w:rPr>
          <w:spacing w:val="-1"/>
        </w:rPr>
        <w:t xml:space="preserve"> </w:t>
      </w:r>
      <w:r>
        <w:t>Responsibilities</w:t>
      </w:r>
    </w:p>
    <w:p w14:paraId="262AC1C2" w14:textId="77777777" w:rsidR="00547B71" w:rsidRDefault="00547B71">
      <w:pPr>
        <w:pStyle w:val="a3"/>
        <w:spacing w:before="3"/>
        <w:rPr>
          <w:b/>
          <w:sz w:val="22"/>
        </w:rPr>
      </w:pPr>
    </w:p>
    <w:p w14:paraId="5157F529" w14:textId="77777777" w:rsidR="00547B71" w:rsidRDefault="00A942C3">
      <w:pPr>
        <w:pStyle w:val="a3"/>
        <w:spacing w:line="280" w:lineRule="auto"/>
        <w:ind w:left="2280" w:right="175"/>
      </w:pPr>
      <w:r>
        <w:rPr>
          <w:b/>
        </w:rPr>
        <w:t xml:space="preserve">Information Security Vice President: </w:t>
      </w:r>
      <w:r>
        <w:t>accountable for the development, implementation, and governance of Information Security strategy as well as setting of information security objectives related to information security incident response management. Has th</w:t>
      </w:r>
      <w:r>
        <w:t>e authority and accountability to ensure that Information Security policies and standards are enacted and enforced.</w:t>
      </w:r>
    </w:p>
    <w:p w14:paraId="36650864" w14:textId="77777777" w:rsidR="00547B71" w:rsidRDefault="00547B71">
      <w:pPr>
        <w:pStyle w:val="a3"/>
        <w:spacing w:before="5"/>
        <w:rPr>
          <w:sz w:val="18"/>
        </w:rPr>
      </w:pPr>
    </w:p>
    <w:p w14:paraId="5CFFA211" w14:textId="77777777" w:rsidR="00547B71" w:rsidRDefault="00A942C3">
      <w:pPr>
        <w:pStyle w:val="a3"/>
        <w:spacing w:line="280" w:lineRule="auto"/>
        <w:ind w:left="2280" w:right="187"/>
      </w:pPr>
      <w:r>
        <w:rPr>
          <w:b/>
        </w:rPr>
        <w:t xml:space="preserve">Information Security Vice President and Directors: </w:t>
      </w:r>
      <w:r>
        <w:t>responsible for developing and maintaining the Costco Information Security incident resp</w:t>
      </w:r>
      <w:r>
        <w:t>onse management program, management of information security objectives related to incident response management, and maintenance of Information Security policies and standards.</w:t>
      </w:r>
    </w:p>
    <w:p w14:paraId="55F959CA" w14:textId="77777777" w:rsidR="00547B71" w:rsidRDefault="00547B71">
      <w:pPr>
        <w:pStyle w:val="a3"/>
        <w:spacing w:before="5"/>
        <w:rPr>
          <w:sz w:val="18"/>
        </w:rPr>
      </w:pPr>
    </w:p>
    <w:p w14:paraId="59F67EA3" w14:textId="77777777" w:rsidR="00547B71" w:rsidRDefault="00A942C3">
      <w:pPr>
        <w:spacing w:line="280" w:lineRule="auto"/>
        <w:ind w:left="2280"/>
        <w:rPr>
          <w:sz w:val="20"/>
        </w:rPr>
      </w:pPr>
      <w:r>
        <w:rPr>
          <w:b/>
          <w:sz w:val="20"/>
        </w:rPr>
        <w:t>HIPAA (Health Insurance Portability and Accountability Act of 1996) Security Of</w:t>
      </w:r>
      <w:r>
        <w:rPr>
          <w:b/>
          <w:sz w:val="20"/>
        </w:rPr>
        <w:t xml:space="preserve">ficer: </w:t>
      </w:r>
      <w:r>
        <w:rPr>
          <w:sz w:val="20"/>
        </w:rPr>
        <w:t>accountable for implementation of incident response management processes for security events and incidents affecting asset storage and processing of electronic Protected Health Information (ePHI).</w:t>
      </w:r>
    </w:p>
    <w:p w14:paraId="60650E67" w14:textId="77777777" w:rsidR="00547B71" w:rsidRDefault="00547B71">
      <w:pPr>
        <w:pStyle w:val="a3"/>
        <w:spacing w:before="7"/>
        <w:rPr>
          <w:sz w:val="23"/>
        </w:rPr>
      </w:pPr>
    </w:p>
    <w:p w14:paraId="1FE6616F" w14:textId="77777777" w:rsidR="00547B71" w:rsidRDefault="00A942C3">
      <w:pPr>
        <w:pStyle w:val="a3"/>
        <w:spacing w:line="280" w:lineRule="auto"/>
        <w:ind w:left="2280"/>
      </w:pPr>
      <w:r>
        <w:rPr>
          <w:b/>
        </w:rPr>
        <w:t xml:space="preserve">All employees and contractors: </w:t>
      </w:r>
      <w:r>
        <w:t xml:space="preserve">It </w:t>
      </w:r>
      <w:proofErr w:type="gramStart"/>
      <w:r>
        <w:t>is</w:t>
      </w:r>
      <w:proofErr w:type="gramEnd"/>
      <w:r>
        <w:t xml:space="preserve"> the duty of al</w:t>
      </w:r>
      <w:r>
        <w:t>l Costco staff to report immediately any suspected or confirmed Personal Data Incident by reporting the incident as soon as possible.</w:t>
      </w:r>
    </w:p>
    <w:p w14:paraId="643494E5" w14:textId="77777777" w:rsidR="00547B71" w:rsidRDefault="00547B71">
      <w:pPr>
        <w:spacing w:line="280" w:lineRule="auto"/>
        <w:sectPr w:rsidR="00547B71">
          <w:pgSz w:w="12240" w:h="15840"/>
          <w:pgMar w:top="1180" w:right="960" w:bottom="1000" w:left="240" w:header="219" w:footer="818" w:gutter="0"/>
          <w:cols w:space="720"/>
        </w:sectPr>
      </w:pPr>
    </w:p>
    <w:p w14:paraId="50411086" w14:textId="77777777" w:rsidR="00547B71" w:rsidRDefault="00547B71">
      <w:pPr>
        <w:pStyle w:val="a3"/>
      </w:pPr>
    </w:p>
    <w:p w14:paraId="6B23BDC4" w14:textId="77777777" w:rsidR="00547B71" w:rsidRDefault="00547B71">
      <w:pPr>
        <w:pStyle w:val="a3"/>
      </w:pPr>
    </w:p>
    <w:p w14:paraId="55340748" w14:textId="77777777" w:rsidR="00547B71" w:rsidRDefault="00547B71">
      <w:pPr>
        <w:pStyle w:val="a3"/>
      </w:pPr>
    </w:p>
    <w:p w14:paraId="48083165" w14:textId="77777777" w:rsidR="00547B71" w:rsidRDefault="00547B71">
      <w:pPr>
        <w:pStyle w:val="a3"/>
        <w:rPr>
          <w:sz w:val="18"/>
        </w:rPr>
      </w:pPr>
    </w:p>
    <w:p w14:paraId="7D5BBA2B" w14:textId="77777777" w:rsidR="00547B71" w:rsidRDefault="00A942C3">
      <w:pPr>
        <w:pStyle w:val="1"/>
        <w:numPr>
          <w:ilvl w:val="1"/>
          <w:numId w:val="3"/>
        </w:numPr>
        <w:tabs>
          <w:tab w:val="left" w:pos="2279"/>
          <w:tab w:val="left" w:pos="2280"/>
        </w:tabs>
        <w:spacing w:before="93"/>
        <w:jc w:val="left"/>
      </w:pPr>
      <w:r>
        <w:t>Policy</w:t>
      </w:r>
      <w:r>
        <w:rPr>
          <w:spacing w:val="-1"/>
        </w:rPr>
        <w:t xml:space="preserve"> </w:t>
      </w:r>
      <w:r>
        <w:t>Statements</w:t>
      </w:r>
    </w:p>
    <w:p w14:paraId="4301F297" w14:textId="77777777" w:rsidR="00547B71" w:rsidRDefault="00547B71">
      <w:pPr>
        <w:pStyle w:val="a3"/>
        <w:spacing w:before="7"/>
        <w:rPr>
          <w:b/>
          <w:sz w:val="23"/>
        </w:rPr>
      </w:pPr>
    </w:p>
    <w:p w14:paraId="3CC46525" w14:textId="77777777" w:rsidR="00547B71" w:rsidRDefault="00A942C3">
      <w:pPr>
        <w:pStyle w:val="2"/>
        <w:numPr>
          <w:ilvl w:val="1"/>
          <w:numId w:val="3"/>
        </w:numPr>
        <w:tabs>
          <w:tab w:val="left" w:pos="2999"/>
          <w:tab w:val="left" w:pos="3000"/>
        </w:tabs>
        <w:ind w:left="3000"/>
        <w:jc w:val="left"/>
      </w:pPr>
      <w:r>
        <w:t>Incident Management Process</w:t>
      </w:r>
      <w:r>
        <w:rPr>
          <w:spacing w:val="-5"/>
        </w:rPr>
        <w:t xml:space="preserve"> </w:t>
      </w:r>
      <w:r>
        <w:t>Lifecycle</w:t>
      </w:r>
    </w:p>
    <w:p w14:paraId="5569118F" w14:textId="77777777" w:rsidR="00547B71" w:rsidRDefault="00A942C3">
      <w:pPr>
        <w:pStyle w:val="a3"/>
        <w:spacing w:before="55" w:line="280" w:lineRule="auto"/>
        <w:ind w:left="2280" w:right="175"/>
      </w:pPr>
      <w:r>
        <w:t>An information security incident response management lifecycle process shall be established by the Information Security department and will contain the following phases, at a minimum:</w:t>
      </w:r>
    </w:p>
    <w:p w14:paraId="3AD381FA" w14:textId="77777777" w:rsidR="00547B71" w:rsidRDefault="00547B71">
      <w:pPr>
        <w:pStyle w:val="a3"/>
        <w:spacing w:before="7"/>
        <w:rPr>
          <w:sz w:val="23"/>
        </w:rPr>
      </w:pPr>
    </w:p>
    <w:p w14:paraId="5F2E244B" w14:textId="77777777" w:rsidR="00547B71" w:rsidRDefault="00A942C3">
      <w:pPr>
        <w:pStyle w:val="a4"/>
        <w:numPr>
          <w:ilvl w:val="2"/>
          <w:numId w:val="3"/>
        </w:numPr>
        <w:tabs>
          <w:tab w:val="left" w:pos="3000"/>
        </w:tabs>
        <w:rPr>
          <w:sz w:val="20"/>
        </w:rPr>
      </w:pPr>
      <w:r>
        <w:rPr>
          <w:sz w:val="20"/>
        </w:rPr>
        <w:t>Pre-event -- preparation and</w:t>
      </w:r>
      <w:r>
        <w:rPr>
          <w:spacing w:val="-4"/>
          <w:sz w:val="20"/>
        </w:rPr>
        <w:t xml:space="preserve"> </w:t>
      </w:r>
      <w:r>
        <w:rPr>
          <w:sz w:val="20"/>
        </w:rPr>
        <w:t>testing</w:t>
      </w:r>
    </w:p>
    <w:p w14:paraId="08332E3C" w14:textId="77777777" w:rsidR="00547B71" w:rsidRDefault="00A942C3">
      <w:pPr>
        <w:pStyle w:val="a4"/>
        <w:numPr>
          <w:ilvl w:val="2"/>
          <w:numId w:val="3"/>
        </w:numPr>
        <w:tabs>
          <w:tab w:val="left" w:pos="3000"/>
        </w:tabs>
        <w:spacing w:before="40"/>
        <w:rPr>
          <w:sz w:val="20"/>
        </w:rPr>
      </w:pPr>
      <w:r>
        <w:rPr>
          <w:sz w:val="20"/>
        </w:rPr>
        <w:t>Detection -- identification and reporting of</w:t>
      </w:r>
      <w:r>
        <w:rPr>
          <w:spacing w:val="-7"/>
          <w:sz w:val="20"/>
        </w:rPr>
        <w:t xml:space="preserve"> </w:t>
      </w:r>
      <w:r>
        <w:rPr>
          <w:sz w:val="20"/>
        </w:rPr>
        <w:t>event</w:t>
      </w:r>
    </w:p>
    <w:p w14:paraId="2E81773C" w14:textId="77777777" w:rsidR="00547B71" w:rsidRDefault="00A942C3">
      <w:pPr>
        <w:pStyle w:val="a4"/>
        <w:numPr>
          <w:ilvl w:val="2"/>
          <w:numId w:val="3"/>
        </w:numPr>
        <w:tabs>
          <w:tab w:val="left" w:pos="3000"/>
        </w:tabs>
        <w:spacing w:before="40"/>
        <w:rPr>
          <w:sz w:val="20"/>
        </w:rPr>
      </w:pPr>
      <w:r>
        <w:rPr>
          <w:sz w:val="20"/>
        </w:rPr>
        <w:t>Assessment -- analysis of</w:t>
      </w:r>
      <w:r>
        <w:rPr>
          <w:spacing w:val="-5"/>
          <w:sz w:val="20"/>
        </w:rPr>
        <w:t xml:space="preserve"> </w:t>
      </w:r>
      <w:r>
        <w:rPr>
          <w:sz w:val="20"/>
        </w:rPr>
        <w:t>event</w:t>
      </w:r>
    </w:p>
    <w:p w14:paraId="37C7FE8E" w14:textId="77777777" w:rsidR="00547B71" w:rsidRDefault="00A942C3">
      <w:pPr>
        <w:pStyle w:val="a4"/>
        <w:numPr>
          <w:ilvl w:val="2"/>
          <w:numId w:val="3"/>
        </w:numPr>
        <w:tabs>
          <w:tab w:val="left" w:pos="3000"/>
        </w:tabs>
        <w:spacing w:before="40"/>
        <w:rPr>
          <w:sz w:val="20"/>
        </w:rPr>
      </w:pPr>
      <w:r>
        <w:rPr>
          <w:sz w:val="20"/>
        </w:rPr>
        <w:t>Activation -- Working group response to incident; resolution, record and</w:t>
      </w:r>
      <w:r>
        <w:rPr>
          <w:spacing w:val="-12"/>
          <w:sz w:val="20"/>
        </w:rPr>
        <w:t xml:space="preserve"> </w:t>
      </w:r>
      <w:r>
        <w:rPr>
          <w:sz w:val="20"/>
        </w:rPr>
        <w:t>recovery</w:t>
      </w:r>
    </w:p>
    <w:p w14:paraId="0E7D6B8D" w14:textId="77777777" w:rsidR="00547B71" w:rsidRDefault="00A942C3">
      <w:pPr>
        <w:pStyle w:val="a4"/>
        <w:numPr>
          <w:ilvl w:val="2"/>
          <w:numId w:val="3"/>
        </w:numPr>
        <w:tabs>
          <w:tab w:val="left" w:pos="3000"/>
        </w:tabs>
        <w:spacing w:before="40"/>
        <w:rPr>
          <w:sz w:val="20"/>
        </w:rPr>
      </w:pPr>
      <w:r>
        <w:rPr>
          <w:sz w:val="20"/>
        </w:rPr>
        <w:t>Post-incident -- review and lessons</w:t>
      </w:r>
      <w:r>
        <w:rPr>
          <w:spacing w:val="-5"/>
          <w:sz w:val="20"/>
        </w:rPr>
        <w:t xml:space="preserve"> </w:t>
      </w:r>
      <w:r>
        <w:rPr>
          <w:sz w:val="20"/>
        </w:rPr>
        <w:t>learned</w:t>
      </w:r>
    </w:p>
    <w:p w14:paraId="7C93AB27" w14:textId="77777777" w:rsidR="00547B71" w:rsidRDefault="00547B71">
      <w:pPr>
        <w:pStyle w:val="a3"/>
        <w:spacing w:before="11"/>
        <w:rPr>
          <w:sz w:val="26"/>
        </w:rPr>
      </w:pPr>
    </w:p>
    <w:p w14:paraId="4819FA71" w14:textId="77777777" w:rsidR="00547B71" w:rsidRDefault="00A942C3">
      <w:pPr>
        <w:pStyle w:val="a3"/>
        <w:spacing w:line="280" w:lineRule="auto"/>
        <w:ind w:left="2280" w:right="118"/>
      </w:pPr>
      <w:r>
        <w:t>If technically and operationally feasible, inf</w:t>
      </w:r>
      <w:r>
        <w:t>ormation security event and incident reporting, tracking and documentation shall be supported by an automated application and a database used to record reported vulnerability, event, and/or incident information.</w:t>
      </w:r>
    </w:p>
    <w:p w14:paraId="27A9A3E2" w14:textId="77777777" w:rsidR="00547B71" w:rsidRDefault="00547B71">
      <w:pPr>
        <w:pStyle w:val="a3"/>
        <w:spacing w:before="7"/>
        <w:rPr>
          <w:sz w:val="23"/>
        </w:rPr>
      </w:pPr>
    </w:p>
    <w:p w14:paraId="3200DEFB" w14:textId="77777777" w:rsidR="00547B71" w:rsidRDefault="00A942C3">
      <w:pPr>
        <w:pStyle w:val="2"/>
        <w:numPr>
          <w:ilvl w:val="1"/>
          <w:numId w:val="3"/>
        </w:numPr>
        <w:tabs>
          <w:tab w:val="left" w:pos="2999"/>
          <w:tab w:val="left" w:pos="3000"/>
        </w:tabs>
        <w:ind w:left="3000"/>
        <w:jc w:val="left"/>
      </w:pPr>
      <w:r>
        <w:t>Information Security Incident Working</w:t>
      </w:r>
      <w:r>
        <w:rPr>
          <w:spacing w:val="-7"/>
        </w:rPr>
        <w:t xml:space="preserve"> </w:t>
      </w:r>
      <w:r>
        <w:t>Group</w:t>
      </w:r>
    </w:p>
    <w:p w14:paraId="667720C4" w14:textId="77777777" w:rsidR="00547B71" w:rsidRDefault="00A942C3">
      <w:pPr>
        <w:pStyle w:val="a3"/>
        <w:spacing w:before="10" w:line="249" w:lineRule="auto"/>
        <w:ind w:left="2280" w:right="135"/>
      </w:pPr>
      <w:r>
        <w:t>An Information Security Incident Working Group (“Working Group”) shall be established to prepare for and respond to Incidents; mitigate harm; minimize reputational, commercial, and legal risk; satisfy Costco’s legal obligations, including those to members</w:t>
      </w:r>
      <w:r>
        <w:t xml:space="preserve"> and affiliates; and defray or recover costs resulting from an information security incident. The core members of the Working Group (collectively, the “Core Working Group”) are:</w:t>
      </w:r>
    </w:p>
    <w:p w14:paraId="0330FA64" w14:textId="77777777" w:rsidR="00547B71" w:rsidRDefault="00547B71">
      <w:pPr>
        <w:pStyle w:val="a3"/>
        <w:spacing w:before="11"/>
      </w:pPr>
    </w:p>
    <w:p w14:paraId="0902731F" w14:textId="77777777" w:rsidR="00547B71" w:rsidRDefault="00A942C3">
      <w:pPr>
        <w:pStyle w:val="a4"/>
        <w:numPr>
          <w:ilvl w:val="0"/>
          <w:numId w:val="2"/>
        </w:numPr>
        <w:tabs>
          <w:tab w:val="left" w:pos="3000"/>
        </w:tabs>
        <w:rPr>
          <w:sz w:val="20"/>
        </w:rPr>
      </w:pPr>
      <w:r>
        <w:rPr>
          <w:sz w:val="20"/>
        </w:rPr>
        <w:t>The Legal Incident Response</w:t>
      </w:r>
      <w:r>
        <w:rPr>
          <w:spacing w:val="-6"/>
          <w:sz w:val="20"/>
        </w:rPr>
        <w:t xml:space="preserve"> </w:t>
      </w:r>
      <w:r>
        <w:rPr>
          <w:sz w:val="20"/>
        </w:rPr>
        <w:t>Manager;</w:t>
      </w:r>
    </w:p>
    <w:p w14:paraId="3E0726DC" w14:textId="77777777" w:rsidR="00547B71" w:rsidRDefault="00A942C3">
      <w:pPr>
        <w:pStyle w:val="a4"/>
        <w:numPr>
          <w:ilvl w:val="0"/>
          <w:numId w:val="2"/>
        </w:numPr>
        <w:tabs>
          <w:tab w:val="left" w:pos="3000"/>
        </w:tabs>
        <w:spacing w:before="10"/>
        <w:rPr>
          <w:sz w:val="20"/>
        </w:rPr>
      </w:pPr>
      <w:r>
        <w:rPr>
          <w:sz w:val="20"/>
        </w:rPr>
        <w:t>The Information Security Incident Respon</w:t>
      </w:r>
      <w:r>
        <w:rPr>
          <w:sz w:val="20"/>
        </w:rPr>
        <w:t>se Manager;</w:t>
      </w:r>
      <w:r>
        <w:rPr>
          <w:spacing w:val="-9"/>
          <w:sz w:val="20"/>
        </w:rPr>
        <w:t xml:space="preserve"> </w:t>
      </w:r>
      <w:r>
        <w:rPr>
          <w:sz w:val="20"/>
        </w:rPr>
        <w:t>and</w:t>
      </w:r>
    </w:p>
    <w:p w14:paraId="336A920A" w14:textId="77777777" w:rsidR="00547B71" w:rsidRDefault="00A942C3">
      <w:pPr>
        <w:pStyle w:val="a4"/>
        <w:numPr>
          <w:ilvl w:val="0"/>
          <w:numId w:val="2"/>
        </w:numPr>
        <w:tabs>
          <w:tab w:val="left" w:pos="3000"/>
        </w:tabs>
        <w:spacing w:before="10"/>
        <w:rPr>
          <w:sz w:val="20"/>
        </w:rPr>
      </w:pPr>
      <w:r>
        <w:rPr>
          <w:sz w:val="20"/>
        </w:rPr>
        <w:t>A Risk Management</w:t>
      </w:r>
      <w:r>
        <w:rPr>
          <w:spacing w:val="-6"/>
          <w:sz w:val="20"/>
        </w:rPr>
        <w:t xml:space="preserve"> </w:t>
      </w:r>
      <w:r>
        <w:rPr>
          <w:sz w:val="20"/>
        </w:rPr>
        <w:t>representative.</w:t>
      </w:r>
    </w:p>
    <w:p w14:paraId="1A71692B" w14:textId="77777777" w:rsidR="00547B71" w:rsidRDefault="00547B71">
      <w:pPr>
        <w:pStyle w:val="a3"/>
        <w:spacing w:before="8"/>
        <w:rPr>
          <w:sz w:val="21"/>
        </w:rPr>
      </w:pPr>
    </w:p>
    <w:p w14:paraId="0BDC60CE" w14:textId="77777777" w:rsidR="00547B71" w:rsidRDefault="00A942C3">
      <w:pPr>
        <w:pStyle w:val="a3"/>
        <w:spacing w:line="249" w:lineRule="auto"/>
        <w:ind w:left="2280"/>
      </w:pPr>
      <w:r>
        <w:t>The Core Working Group shall coordinate their activities with key representatives of other departments and functions within Costco (such as Treasury, Membership, Human Resources, International, Loss Prevention, and Operations) as needed. Thus, except for t</w:t>
      </w:r>
      <w:r>
        <w:t>he Core Working Group, the Working Group for each Personal Data Incident will comprise different members, depending on the type and scope of each such incident.</w:t>
      </w:r>
    </w:p>
    <w:p w14:paraId="207A6B92" w14:textId="77777777" w:rsidR="00547B71" w:rsidRDefault="00547B71">
      <w:pPr>
        <w:pStyle w:val="a3"/>
        <w:spacing w:before="11"/>
      </w:pPr>
    </w:p>
    <w:p w14:paraId="137D8460" w14:textId="77777777" w:rsidR="00547B71" w:rsidRDefault="00A942C3">
      <w:pPr>
        <w:pStyle w:val="a3"/>
        <w:spacing w:line="249" w:lineRule="auto"/>
        <w:ind w:left="2280" w:right="175"/>
      </w:pPr>
      <w:r>
        <w:t>The Core Working Group is responsible for developing the standards, plans and guidelines to ma</w:t>
      </w:r>
      <w:r>
        <w:t>nage each phase of an information security incident, as identified above. The Legal Incident Response Manager and the Information Security Incident Response Manager shall be jointly responsible for maintaining the Costco Data Security Incident Response Pla</w:t>
      </w:r>
      <w:r>
        <w:t xml:space="preserve">n. This plan shall define Costco’s step-by-step process and procedures for responding to a data security breach, including notification requirements and procedures. At a minimum, an information security incident affecting </w:t>
      </w:r>
      <w:r>
        <w:rPr>
          <w:i/>
        </w:rPr>
        <w:t xml:space="preserve">Restricted, Regulated, </w:t>
      </w:r>
      <w:r>
        <w:t xml:space="preserve">and </w:t>
      </w:r>
      <w:r>
        <w:rPr>
          <w:i/>
        </w:rPr>
        <w:t>Confide</w:t>
      </w:r>
      <w:r>
        <w:rPr>
          <w:i/>
        </w:rPr>
        <w:t xml:space="preserve">ntial </w:t>
      </w:r>
      <w:r>
        <w:t>data shall be responded to and managed in accordance with the plan, including incidents involving Personal Data that may require notification to authorities or individuals.</w:t>
      </w:r>
    </w:p>
    <w:p w14:paraId="514C2387" w14:textId="77777777" w:rsidR="00547B71" w:rsidRDefault="00547B71">
      <w:pPr>
        <w:spacing w:line="249" w:lineRule="auto"/>
        <w:sectPr w:rsidR="00547B71">
          <w:pgSz w:w="12240" w:h="15840"/>
          <w:pgMar w:top="1180" w:right="960" w:bottom="1000" w:left="240" w:header="219" w:footer="818" w:gutter="0"/>
          <w:cols w:space="720"/>
        </w:sectPr>
      </w:pPr>
    </w:p>
    <w:p w14:paraId="70FBC4E9" w14:textId="77777777" w:rsidR="00547B71" w:rsidRDefault="00547B71">
      <w:pPr>
        <w:pStyle w:val="a3"/>
      </w:pPr>
    </w:p>
    <w:p w14:paraId="05BE1ACE" w14:textId="77777777" w:rsidR="00547B71" w:rsidRDefault="00547B71">
      <w:pPr>
        <w:pStyle w:val="a3"/>
        <w:spacing w:before="4"/>
        <w:rPr>
          <w:sz w:val="22"/>
        </w:rPr>
      </w:pPr>
    </w:p>
    <w:p w14:paraId="6917038F" w14:textId="77777777" w:rsidR="00547B71" w:rsidRDefault="00A942C3">
      <w:pPr>
        <w:pStyle w:val="2"/>
        <w:numPr>
          <w:ilvl w:val="1"/>
          <w:numId w:val="3"/>
        </w:numPr>
        <w:tabs>
          <w:tab w:val="left" w:pos="2999"/>
          <w:tab w:val="left" w:pos="3000"/>
        </w:tabs>
        <w:ind w:left="3000"/>
        <w:jc w:val="left"/>
      </w:pPr>
      <w:r>
        <w:t>Technical Incident Response</w:t>
      </w:r>
      <w:r>
        <w:rPr>
          <w:spacing w:val="-4"/>
        </w:rPr>
        <w:t xml:space="preserve"> </w:t>
      </w:r>
      <w:r>
        <w:t>Team</w:t>
      </w:r>
    </w:p>
    <w:p w14:paraId="32F08407" w14:textId="77777777" w:rsidR="00547B71" w:rsidRDefault="00A942C3">
      <w:pPr>
        <w:pStyle w:val="a3"/>
        <w:spacing w:before="40" w:line="249" w:lineRule="auto"/>
        <w:ind w:left="2280" w:right="175"/>
      </w:pPr>
      <w:r>
        <w:t>The Information Security dep</w:t>
      </w:r>
      <w:r>
        <w:t>artment shall be responsible for establishing, supporting, and maintaining a technical incident response team. This team shall be managed by the Information Security Incident Response Manager. The technical incident response team shall be responsible for r</w:t>
      </w:r>
      <w:r>
        <w:t>esponding to information security incidents throughout the Costco-managed environment, including incident verification and declaration, incident analysis, response, and resolution and incident documentation.</w:t>
      </w:r>
    </w:p>
    <w:p w14:paraId="5005DCC7" w14:textId="77777777" w:rsidR="00547B71" w:rsidRDefault="00547B71">
      <w:pPr>
        <w:pStyle w:val="a3"/>
        <w:spacing w:before="11"/>
      </w:pPr>
    </w:p>
    <w:p w14:paraId="0BF3AF23" w14:textId="77777777" w:rsidR="00547B71" w:rsidRDefault="00A942C3">
      <w:pPr>
        <w:pStyle w:val="a3"/>
        <w:spacing w:line="249" w:lineRule="auto"/>
        <w:ind w:left="2280" w:right="175"/>
      </w:pPr>
      <w:r>
        <w:t>The technical incident response team shall coor</w:t>
      </w:r>
      <w:r>
        <w:t>dinate its activities with the Core Working Group, Working Group, and other departments and functions within Costco as needed. The key representatives of these other departments and functions within Costco shall provide all requested assistance to the tech</w:t>
      </w:r>
      <w:r>
        <w:t>nical incident response team in a timely manner.</w:t>
      </w:r>
    </w:p>
    <w:p w14:paraId="1E929A53" w14:textId="77777777" w:rsidR="00547B71" w:rsidRDefault="00547B71">
      <w:pPr>
        <w:pStyle w:val="a3"/>
        <w:spacing w:before="3"/>
        <w:rPr>
          <w:sz w:val="22"/>
        </w:rPr>
      </w:pPr>
    </w:p>
    <w:p w14:paraId="79371600" w14:textId="77777777" w:rsidR="00547B71" w:rsidRDefault="00A942C3">
      <w:pPr>
        <w:pStyle w:val="2"/>
        <w:numPr>
          <w:ilvl w:val="1"/>
          <w:numId w:val="3"/>
        </w:numPr>
        <w:tabs>
          <w:tab w:val="left" w:pos="2999"/>
          <w:tab w:val="left" w:pos="3000"/>
        </w:tabs>
        <w:ind w:left="3000"/>
        <w:jc w:val="left"/>
      </w:pPr>
      <w:r>
        <w:t>Investigative Support and</w:t>
      </w:r>
      <w:r>
        <w:rPr>
          <w:spacing w:val="-4"/>
        </w:rPr>
        <w:t xml:space="preserve"> </w:t>
      </w:r>
      <w:r>
        <w:t>Forensics</w:t>
      </w:r>
    </w:p>
    <w:p w14:paraId="5153F283" w14:textId="77777777" w:rsidR="00547B71" w:rsidRDefault="00A942C3">
      <w:pPr>
        <w:pStyle w:val="a3"/>
        <w:spacing w:before="55" w:line="249" w:lineRule="auto"/>
        <w:ind w:left="2280"/>
      </w:pPr>
      <w:r>
        <w:t>Forensics requirements shall be considered when conducting incident analysis and performing response and resolution activities in order not to violate the chain-of-custod</w:t>
      </w:r>
      <w:r>
        <w:t>y principle. Process shall be established and followed if investigative support from law enforcement agency is required as determined by the Core Working Group.</w:t>
      </w:r>
    </w:p>
    <w:p w14:paraId="1C8B76D1" w14:textId="77777777" w:rsidR="00547B71" w:rsidRDefault="00547B71">
      <w:pPr>
        <w:pStyle w:val="a3"/>
        <w:rPr>
          <w:sz w:val="22"/>
        </w:rPr>
      </w:pPr>
    </w:p>
    <w:p w14:paraId="2D59E0A1" w14:textId="77777777" w:rsidR="00547B71" w:rsidRDefault="00547B71">
      <w:pPr>
        <w:pStyle w:val="a3"/>
        <w:rPr>
          <w:sz w:val="22"/>
        </w:rPr>
      </w:pPr>
    </w:p>
    <w:p w14:paraId="6C0B5CDF" w14:textId="77777777" w:rsidR="00547B71" w:rsidRDefault="00A942C3">
      <w:pPr>
        <w:pStyle w:val="1"/>
        <w:tabs>
          <w:tab w:val="left" w:pos="2279"/>
        </w:tabs>
        <w:spacing w:before="177"/>
      </w:pPr>
      <w:r>
        <w:t>5.0</w:t>
      </w:r>
      <w:r>
        <w:tab/>
        <w:t>Compliance/Exceptions/Enforcement</w:t>
      </w:r>
    </w:p>
    <w:p w14:paraId="0AF6D5CB" w14:textId="77777777" w:rsidR="00547B71" w:rsidRDefault="00547B71">
      <w:pPr>
        <w:pStyle w:val="a3"/>
        <w:spacing w:before="3"/>
        <w:rPr>
          <w:b/>
          <w:sz w:val="22"/>
        </w:rPr>
      </w:pPr>
    </w:p>
    <w:p w14:paraId="3A748D1C" w14:textId="77777777" w:rsidR="00547B71" w:rsidRDefault="00A942C3">
      <w:pPr>
        <w:pStyle w:val="a3"/>
        <w:spacing w:line="280" w:lineRule="auto"/>
        <w:ind w:left="2280" w:right="175"/>
      </w:pPr>
      <w:r>
        <w:t>Compliance is expected within 90 days of standard approval. If a portion of the standard cannot be followed, an exception must be requested and approved via the Risk Acceptance Process. Failure to comply with this standard will result in management interve</w:t>
      </w:r>
      <w:r>
        <w:t>ntion and may result in disciplinary action. This standard will remain enforceable until modified and approved, or retired and removed from active publication.</w:t>
      </w:r>
    </w:p>
    <w:p w14:paraId="24564623" w14:textId="77777777" w:rsidR="00547B71" w:rsidRDefault="00547B71">
      <w:pPr>
        <w:pStyle w:val="a3"/>
        <w:spacing w:before="7"/>
        <w:rPr>
          <w:sz w:val="23"/>
        </w:rPr>
      </w:pPr>
    </w:p>
    <w:p w14:paraId="1CCD73D3" w14:textId="77777777" w:rsidR="00547B71" w:rsidRDefault="00A942C3">
      <w:pPr>
        <w:pStyle w:val="a3"/>
        <w:spacing w:line="280" w:lineRule="auto"/>
        <w:ind w:left="2280" w:right="175"/>
      </w:pPr>
      <w:r>
        <w:t xml:space="preserve">Report violations or suspected violations via email to </w:t>
      </w:r>
      <w:hyperlink r:id="rId9">
        <w:r>
          <w:t>infosecpolicyteam@costco.com</w:t>
        </w:r>
      </w:hyperlink>
      <w:r>
        <w:t xml:space="preserve"> immediately.</w:t>
      </w:r>
    </w:p>
    <w:p w14:paraId="10E12798" w14:textId="77777777" w:rsidR="00547B71" w:rsidRDefault="00547B71">
      <w:pPr>
        <w:pStyle w:val="a3"/>
        <w:spacing w:before="9"/>
        <w:rPr>
          <w:sz w:val="17"/>
        </w:rPr>
      </w:pPr>
    </w:p>
    <w:p w14:paraId="28B89FB4" w14:textId="77777777" w:rsidR="00547B71" w:rsidRDefault="00A942C3">
      <w:pPr>
        <w:pStyle w:val="1"/>
        <w:tabs>
          <w:tab w:val="left" w:pos="2279"/>
        </w:tabs>
      </w:pPr>
      <w:r>
        <w:t>6.0</w:t>
      </w:r>
      <w:r>
        <w:tab/>
        <w:t>Review Cycle</w:t>
      </w:r>
    </w:p>
    <w:p w14:paraId="4DD379AE" w14:textId="77777777" w:rsidR="00547B71" w:rsidRDefault="00547B71">
      <w:pPr>
        <w:pStyle w:val="a3"/>
        <w:spacing w:before="3"/>
        <w:rPr>
          <w:b/>
          <w:sz w:val="22"/>
        </w:rPr>
      </w:pPr>
    </w:p>
    <w:p w14:paraId="44EFF861" w14:textId="77777777" w:rsidR="00547B71" w:rsidRDefault="00A942C3">
      <w:pPr>
        <w:pStyle w:val="a3"/>
        <w:spacing w:line="280" w:lineRule="auto"/>
        <w:ind w:left="2280"/>
      </w:pPr>
      <w:r>
        <w:rPr>
          <w:color w:val="212121"/>
        </w:rPr>
        <w:t>This standard will be reviewed based on the criteria defined in the Information Security Policy Management Standard.</w:t>
      </w:r>
    </w:p>
    <w:p w14:paraId="451877DB" w14:textId="77777777" w:rsidR="00547B71" w:rsidRDefault="00547B71">
      <w:pPr>
        <w:pStyle w:val="a3"/>
        <w:spacing w:before="7"/>
        <w:rPr>
          <w:sz w:val="23"/>
        </w:rPr>
      </w:pPr>
    </w:p>
    <w:p w14:paraId="56BAE57F" w14:textId="77777777" w:rsidR="00547B71" w:rsidRDefault="00A942C3">
      <w:pPr>
        <w:pStyle w:val="a3"/>
        <w:ind w:left="2280"/>
      </w:pPr>
      <w:r>
        <w:rPr>
          <w:color w:val="212121"/>
        </w:rPr>
        <w:t xml:space="preserve">Questions or concerns should be directed to </w:t>
      </w:r>
      <w:hyperlink r:id="rId10">
        <w:r>
          <w:rPr>
            <w:color w:val="212121"/>
          </w:rPr>
          <w:t>infosecpolicyteam@costco.com</w:t>
        </w:r>
      </w:hyperlink>
    </w:p>
    <w:p w14:paraId="5B032A47" w14:textId="77777777" w:rsidR="00547B71" w:rsidRDefault="00547B71">
      <w:pPr>
        <w:pStyle w:val="a3"/>
        <w:rPr>
          <w:sz w:val="22"/>
        </w:rPr>
      </w:pPr>
    </w:p>
    <w:p w14:paraId="2379CA46" w14:textId="77777777" w:rsidR="00547B71" w:rsidRDefault="00547B71">
      <w:pPr>
        <w:pStyle w:val="a3"/>
        <w:spacing w:before="6"/>
        <w:rPr>
          <w:sz w:val="22"/>
        </w:rPr>
      </w:pPr>
    </w:p>
    <w:p w14:paraId="1251A92A" w14:textId="77777777" w:rsidR="00547B71" w:rsidRDefault="00A942C3">
      <w:pPr>
        <w:pStyle w:val="1"/>
        <w:tabs>
          <w:tab w:val="left" w:pos="2279"/>
        </w:tabs>
      </w:pPr>
      <w:r>
        <w:t>7.0</w:t>
      </w:r>
      <w:r>
        <w:tab/>
        <w:t>References</w:t>
      </w:r>
    </w:p>
    <w:p w14:paraId="61D3598B" w14:textId="77777777" w:rsidR="00547B71" w:rsidRDefault="00547B71">
      <w:pPr>
        <w:pStyle w:val="a3"/>
        <w:spacing w:before="3"/>
        <w:rPr>
          <w:b/>
          <w:sz w:val="22"/>
        </w:rPr>
      </w:pPr>
    </w:p>
    <w:p w14:paraId="041F0690" w14:textId="77777777" w:rsidR="00547B71" w:rsidRDefault="00A942C3">
      <w:pPr>
        <w:pStyle w:val="a3"/>
        <w:spacing w:line="280" w:lineRule="auto"/>
        <w:ind w:left="2280" w:right="3159"/>
      </w:pPr>
      <w:r>
        <w:t>Information Security Third Party Risk Management Policy Information Security Incident Response Management Standard Costco Data Security Incident Response Plan</w:t>
      </w:r>
    </w:p>
    <w:p w14:paraId="354B665B" w14:textId="77777777" w:rsidR="00547B71" w:rsidRDefault="00547B71">
      <w:pPr>
        <w:spacing w:line="280" w:lineRule="auto"/>
        <w:sectPr w:rsidR="00547B71">
          <w:pgSz w:w="12240" w:h="15840"/>
          <w:pgMar w:top="1180" w:right="960" w:bottom="1000" w:left="240" w:header="219" w:footer="818" w:gutter="0"/>
          <w:cols w:space="720"/>
        </w:sectPr>
      </w:pPr>
    </w:p>
    <w:p w14:paraId="28A272B3" w14:textId="77777777" w:rsidR="00547B71" w:rsidRDefault="00547B71">
      <w:pPr>
        <w:pStyle w:val="a3"/>
      </w:pPr>
    </w:p>
    <w:p w14:paraId="7B16F4FF" w14:textId="77777777" w:rsidR="00547B71" w:rsidRDefault="00547B71">
      <w:pPr>
        <w:pStyle w:val="a3"/>
      </w:pPr>
    </w:p>
    <w:p w14:paraId="3AC1CEC7" w14:textId="77777777" w:rsidR="00547B71" w:rsidRDefault="00547B71">
      <w:pPr>
        <w:pStyle w:val="a3"/>
        <w:spacing w:before="5"/>
        <w:rPr>
          <w:sz w:val="18"/>
        </w:rPr>
      </w:pPr>
    </w:p>
    <w:p w14:paraId="382670C0" w14:textId="77777777" w:rsidR="00547B71" w:rsidRDefault="00A942C3">
      <w:pPr>
        <w:pStyle w:val="1"/>
        <w:tabs>
          <w:tab w:val="left" w:pos="2279"/>
        </w:tabs>
        <w:spacing w:before="93"/>
      </w:pPr>
      <w:r>
        <w:t>8.0</w:t>
      </w:r>
      <w:r>
        <w:tab/>
        <w:t>Document Review</w:t>
      </w:r>
      <w:r>
        <w:rPr>
          <w:spacing w:val="-1"/>
        </w:rPr>
        <w:t xml:space="preserve"> </w:t>
      </w:r>
      <w:r>
        <w:t>History</w:t>
      </w:r>
    </w:p>
    <w:p w14:paraId="35C04207" w14:textId="77777777" w:rsidR="00547B71" w:rsidRDefault="00547B71">
      <w:pPr>
        <w:pStyle w:val="a3"/>
        <w:rPr>
          <w:b/>
        </w:rPr>
      </w:pPr>
    </w:p>
    <w:p w14:paraId="2BB1DCF0" w14:textId="77777777" w:rsidR="00547B71" w:rsidRDefault="00547B71">
      <w:pPr>
        <w:pStyle w:val="a3"/>
        <w:spacing w:before="9"/>
        <w:rPr>
          <w:b/>
          <w:sz w:val="10"/>
        </w:rPr>
      </w:pPr>
    </w:p>
    <w:tbl>
      <w:tblPr>
        <w:tblStyle w:val="TableNormal"/>
        <w:tblW w:w="0" w:type="auto"/>
        <w:tblInd w:w="15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70"/>
        <w:gridCol w:w="2865"/>
        <w:gridCol w:w="1815"/>
        <w:gridCol w:w="3405"/>
      </w:tblGrid>
      <w:tr w:rsidR="00547B71" w14:paraId="541261C6" w14:textId="77777777">
        <w:trPr>
          <w:trHeight w:hRule="exact" w:val="435"/>
        </w:trPr>
        <w:tc>
          <w:tcPr>
            <w:tcW w:w="1170" w:type="dxa"/>
            <w:shd w:val="clear" w:color="auto" w:fill="E99999"/>
          </w:tcPr>
          <w:p w14:paraId="6175A738" w14:textId="77777777" w:rsidR="00547B71" w:rsidRDefault="00A942C3">
            <w:pPr>
              <w:pStyle w:val="TableParagraph"/>
              <w:ind w:left="180"/>
              <w:rPr>
                <w:b/>
                <w:sz w:val="18"/>
              </w:rPr>
            </w:pPr>
            <w:r>
              <w:rPr>
                <w:b/>
                <w:sz w:val="18"/>
              </w:rPr>
              <w:t>Review #</w:t>
            </w:r>
          </w:p>
        </w:tc>
        <w:tc>
          <w:tcPr>
            <w:tcW w:w="2865" w:type="dxa"/>
            <w:shd w:val="clear" w:color="auto" w:fill="E99999"/>
          </w:tcPr>
          <w:p w14:paraId="799D0CD8" w14:textId="77777777" w:rsidR="00547B71" w:rsidRDefault="00A942C3">
            <w:pPr>
              <w:pStyle w:val="TableParagraph"/>
              <w:ind w:left="945"/>
              <w:rPr>
                <w:b/>
                <w:sz w:val="18"/>
              </w:rPr>
            </w:pPr>
            <w:r>
              <w:rPr>
                <w:b/>
                <w:sz w:val="18"/>
              </w:rPr>
              <w:t>Comments</w:t>
            </w:r>
          </w:p>
        </w:tc>
        <w:tc>
          <w:tcPr>
            <w:tcW w:w="1815" w:type="dxa"/>
            <w:shd w:val="clear" w:color="auto" w:fill="E99999"/>
          </w:tcPr>
          <w:p w14:paraId="1902C431" w14:textId="77777777" w:rsidR="00547B71" w:rsidRDefault="00A942C3">
            <w:pPr>
              <w:pStyle w:val="TableParagraph"/>
              <w:ind w:left="671" w:right="698"/>
              <w:jc w:val="center"/>
              <w:rPr>
                <w:b/>
                <w:sz w:val="18"/>
              </w:rPr>
            </w:pPr>
            <w:r>
              <w:rPr>
                <w:b/>
                <w:sz w:val="18"/>
              </w:rPr>
              <w:t>Date</w:t>
            </w:r>
          </w:p>
        </w:tc>
        <w:tc>
          <w:tcPr>
            <w:tcW w:w="3405" w:type="dxa"/>
            <w:shd w:val="clear" w:color="auto" w:fill="E99999"/>
          </w:tcPr>
          <w:p w14:paraId="1A2D39E2" w14:textId="77777777" w:rsidR="00547B71" w:rsidRDefault="00A942C3">
            <w:pPr>
              <w:pStyle w:val="TableParagraph"/>
              <w:ind w:left="840"/>
              <w:rPr>
                <w:b/>
                <w:sz w:val="18"/>
              </w:rPr>
            </w:pPr>
            <w:r>
              <w:rPr>
                <w:b/>
                <w:sz w:val="18"/>
              </w:rPr>
              <w:t>Executive Approver</w:t>
            </w:r>
          </w:p>
        </w:tc>
      </w:tr>
      <w:tr w:rsidR="00547B71" w14:paraId="53B4DB0F" w14:textId="77777777">
        <w:trPr>
          <w:trHeight w:hRule="exact" w:val="435"/>
        </w:trPr>
        <w:tc>
          <w:tcPr>
            <w:tcW w:w="1170" w:type="dxa"/>
          </w:tcPr>
          <w:p w14:paraId="603DDE7E" w14:textId="77777777" w:rsidR="00547B71" w:rsidRDefault="00A942C3">
            <w:pPr>
              <w:pStyle w:val="TableParagraph"/>
              <w:rPr>
                <w:sz w:val="18"/>
              </w:rPr>
            </w:pPr>
            <w:r>
              <w:rPr>
                <w:sz w:val="18"/>
              </w:rPr>
              <w:t>1.0</w:t>
            </w:r>
          </w:p>
        </w:tc>
        <w:tc>
          <w:tcPr>
            <w:tcW w:w="2865" w:type="dxa"/>
          </w:tcPr>
          <w:p w14:paraId="408D6163" w14:textId="77777777" w:rsidR="00547B71" w:rsidRDefault="00547B71"/>
        </w:tc>
        <w:tc>
          <w:tcPr>
            <w:tcW w:w="1815" w:type="dxa"/>
          </w:tcPr>
          <w:p w14:paraId="0ADDF619" w14:textId="77777777" w:rsidR="00547B71" w:rsidRDefault="00A942C3">
            <w:pPr>
              <w:pStyle w:val="TableParagraph"/>
              <w:ind w:left="480"/>
              <w:rPr>
                <w:sz w:val="18"/>
              </w:rPr>
            </w:pPr>
            <w:r>
              <w:rPr>
                <w:sz w:val="18"/>
              </w:rPr>
              <w:t>9/28/2007</w:t>
            </w:r>
          </w:p>
        </w:tc>
        <w:tc>
          <w:tcPr>
            <w:tcW w:w="3405" w:type="dxa"/>
          </w:tcPr>
          <w:p w14:paraId="0036DC7A" w14:textId="77777777" w:rsidR="00547B71" w:rsidRDefault="00A942C3">
            <w:pPr>
              <w:pStyle w:val="TableParagraph"/>
              <w:rPr>
                <w:sz w:val="18"/>
              </w:rPr>
            </w:pPr>
            <w:r>
              <w:rPr>
                <w:sz w:val="18"/>
              </w:rPr>
              <w:t>IS Council</w:t>
            </w:r>
          </w:p>
        </w:tc>
      </w:tr>
      <w:tr w:rsidR="00547B71" w14:paraId="740C15B3" w14:textId="77777777">
        <w:trPr>
          <w:trHeight w:hRule="exact" w:val="435"/>
        </w:trPr>
        <w:tc>
          <w:tcPr>
            <w:tcW w:w="1170" w:type="dxa"/>
          </w:tcPr>
          <w:p w14:paraId="5C44A4C4" w14:textId="77777777" w:rsidR="00547B71" w:rsidRDefault="00A942C3">
            <w:pPr>
              <w:pStyle w:val="TableParagraph"/>
              <w:rPr>
                <w:sz w:val="18"/>
              </w:rPr>
            </w:pPr>
            <w:r>
              <w:rPr>
                <w:sz w:val="18"/>
              </w:rPr>
              <w:t>1.2</w:t>
            </w:r>
          </w:p>
        </w:tc>
        <w:tc>
          <w:tcPr>
            <w:tcW w:w="2865" w:type="dxa"/>
          </w:tcPr>
          <w:p w14:paraId="5071E505" w14:textId="77777777" w:rsidR="00547B71" w:rsidRDefault="00547B71"/>
        </w:tc>
        <w:tc>
          <w:tcPr>
            <w:tcW w:w="1815" w:type="dxa"/>
          </w:tcPr>
          <w:p w14:paraId="3C6BC749" w14:textId="77777777" w:rsidR="00547B71" w:rsidRDefault="00A942C3">
            <w:pPr>
              <w:pStyle w:val="TableParagraph"/>
              <w:ind w:left="480"/>
              <w:rPr>
                <w:sz w:val="18"/>
              </w:rPr>
            </w:pPr>
            <w:r>
              <w:rPr>
                <w:sz w:val="18"/>
              </w:rPr>
              <w:t>6/24/2009</w:t>
            </w:r>
          </w:p>
        </w:tc>
        <w:tc>
          <w:tcPr>
            <w:tcW w:w="3405" w:type="dxa"/>
          </w:tcPr>
          <w:p w14:paraId="0DC90687" w14:textId="77777777" w:rsidR="00547B71" w:rsidRDefault="00A942C3">
            <w:pPr>
              <w:pStyle w:val="TableParagraph"/>
              <w:rPr>
                <w:sz w:val="18"/>
              </w:rPr>
            </w:pPr>
            <w:r>
              <w:rPr>
                <w:sz w:val="18"/>
              </w:rPr>
              <w:t>Mark Mattis</w:t>
            </w:r>
          </w:p>
        </w:tc>
      </w:tr>
      <w:tr w:rsidR="00547B71" w14:paraId="1FDC8FDA" w14:textId="77777777">
        <w:trPr>
          <w:trHeight w:hRule="exact" w:val="435"/>
        </w:trPr>
        <w:tc>
          <w:tcPr>
            <w:tcW w:w="1170" w:type="dxa"/>
          </w:tcPr>
          <w:p w14:paraId="0EA957C3" w14:textId="77777777" w:rsidR="00547B71" w:rsidRDefault="00A942C3">
            <w:pPr>
              <w:pStyle w:val="TableParagraph"/>
              <w:rPr>
                <w:sz w:val="18"/>
              </w:rPr>
            </w:pPr>
            <w:r>
              <w:rPr>
                <w:sz w:val="18"/>
              </w:rPr>
              <w:t>1.3</w:t>
            </w:r>
          </w:p>
        </w:tc>
        <w:tc>
          <w:tcPr>
            <w:tcW w:w="2865" w:type="dxa"/>
          </w:tcPr>
          <w:p w14:paraId="11987E54" w14:textId="77777777" w:rsidR="00547B71" w:rsidRDefault="00547B71"/>
        </w:tc>
        <w:tc>
          <w:tcPr>
            <w:tcW w:w="1815" w:type="dxa"/>
          </w:tcPr>
          <w:p w14:paraId="22330F9E" w14:textId="77777777" w:rsidR="00547B71" w:rsidRDefault="00A942C3">
            <w:pPr>
              <w:pStyle w:val="TableParagraph"/>
              <w:ind w:left="540"/>
              <w:rPr>
                <w:sz w:val="18"/>
              </w:rPr>
            </w:pPr>
            <w:r>
              <w:rPr>
                <w:sz w:val="18"/>
              </w:rPr>
              <w:t>12/28/10</w:t>
            </w:r>
          </w:p>
        </w:tc>
        <w:tc>
          <w:tcPr>
            <w:tcW w:w="3405" w:type="dxa"/>
          </w:tcPr>
          <w:p w14:paraId="1BEAF598" w14:textId="77777777" w:rsidR="00547B71" w:rsidRDefault="00A942C3">
            <w:pPr>
              <w:pStyle w:val="TableParagraph"/>
              <w:rPr>
                <w:sz w:val="18"/>
              </w:rPr>
            </w:pPr>
            <w:r>
              <w:rPr>
                <w:sz w:val="18"/>
              </w:rPr>
              <w:t>Mark Mattis</w:t>
            </w:r>
          </w:p>
        </w:tc>
      </w:tr>
      <w:tr w:rsidR="00547B71" w14:paraId="7C4E528E" w14:textId="77777777">
        <w:trPr>
          <w:trHeight w:hRule="exact" w:val="435"/>
        </w:trPr>
        <w:tc>
          <w:tcPr>
            <w:tcW w:w="1170" w:type="dxa"/>
          </w:tcPr>
          <w:p w14:paraId="6B876A8B" w14:textId="77777777" w:rsidR="00547B71" w:rsidRDefault="00A942C3">
            <w:pPr>
              <w:pStyle w:val="TableParagraph"/>
              <w:rPr>
                <w:sz w:val="18"/>
              </w:rPr>
            </w:pPr>
            <w:r>
              <w:rPr>
                <w:sz w:val="18"/>
              </w:rPr>
              <w:t>1.4</w:t>
            </w:r>
          </w:p>
        </w:tc>
        <w:tc>
          <w:tcPr>
            <w:tcW w:w="2865" w:type="dxa"/>
          </w:tcPr>
          <w:p w14:paraId="450F5A38" w14:textId="77777777" w:rsidR="00547B71" w:rsidRDefault="00547B71"/>
        </w:tc>
        <w:tc>
          <w:tcPr>
            <w:tcW w:w="1815" w:type="dxa"/>
          </w:tcPr>
          <w:p w14:paraId="7904FCC4" w14:textId="77777777" w:rsidR="00547B71" w:rsidRDefault="00A942C3">
            <w:pPr>
              <w:pStyle w:val="TableParagraph"/>
              <w:ind w:left="540"/>
              <w:rPr>
                <w:sz w:val="18"/>
              </w:rPr>
            </w:pPr>
            <w:r>
              <w:rPr>
                <w:sz w:val="18"/>
              </w:rPr>
              <w:t>12/17/13</w:t>
            </w:r>
          </w:p>
        </w:tc>
        <w:tc>
          <w:tcPr>
            <w:tcW w:w="3405" w:type="dxa"/>
          </w:tcPr>
          <w:p w14:paraId="4F61F705" w14:textId="77777777" w:rsidR="00547B71" w:rsidRDefault="00A942C3">
            <w:pPr>
              <w:pStyle w:val="TableParagraph"/>
              <w:rPr>
                <w:sz w:val="18"/>
              </w:rPr>
            </w:pPr>
            <w:r>
              <w:rPr>
                <w:sz w:val="18"/>
              </w:rPr>
              <w:t>Franklin Donahoe</w:t>
            </w:r>
          </w:p>
        </w:tc>
      </w:tr>
      <w:tr w:rsidR="00547B71" w14:paraId="45A50390" w14:textId="77777777">
        <w:trPr>
          <w:trHeight w:hRule="exact" w:val="645"/>
        </w:trPr>
        <w:tc>
          <w:tcPr>
            <w:tcW w:w="1170" w:type="dxa"/>
          </w:tcPr>
          <w:p w14:paraId="63C20653" w14:textId="77777777" w:rsidR="00547B71" w:rsidRDefault="00A942C3">
            <w:pPr>
              <w:pStyle w:val="TableParagraph"/>
              <w:rPr>
                <w:sz w:val="18"/>
              </w:rPr>
            </w:pPr>
            <w:r>
              <w:rPr>
                <w:sz w:val="18"/>
              </w:rPr>
              <w:t>2.0</w:t>
            </w:r>
          </w:p>
        </w:tc>
        <w:tc>
          <w:tcPr>
            <w:tcW w:w="2865" w:type="dxa"/>
          </w:tcPr>
          <w:p w14:paraId="257977FE" w14:textId="77777777" w:rsidR="00547B71" w:rsidRDefault="00A942C3">
            <w:pPr>
              <w:pStyle w:val="TableParagraph"/>
              <w:spacing w:line="242" w:lineRule="auto"/>
              <w:ind w:right="88"/>
              <w:rPr>
                <w:sz w:val="18"/>
              </w:rPr>
            </w:pPr>
            <w:r>
              <w:rPr>
                <w:sz w:val="18"/>
              </w:rPr>
              <w:t>Policy revised and updates to the content made</w:t>
            </w:r>
          </w:p>
        </w:tc>
        <w:tc>
          <w:tcPr>
            <w:tcW w:w="1815" w:type="dxa"/>
          </w:tcPr>
          <w:p w14:paraId="3FFD1CF2" w14:textId="77777777" w:rsidR="00547B71" w:rsidRDefault="00A942C3">
            <w:pPr>
              <w:pStyle w:val="TableParagraph"/>
              <w:ind w:left="540"/>
              <w:rPr>
                <w:sz w:val="18"/>
              </w:rPr>
            </w:pPr>
            <w:r>
              <w:rPr>
                <w:sz w:val="18"/>
              </w:rPr>
              <w:t>12/19/16</w:t>
            </w:r>
          </w:p>
        </w:tc>
        <w:tc>
          <w:tcPr>
            <w:tcW w:w="3405" w:type="dxa"/>
          </w:tcPr>
          <w:p w14:paraId="6C4C494D" w14:textId="77777777" w:rsidR="00547B71" w:rsidRDefault="00A942C3">
            <w:pPr>
              <w:pStyle w:val="TableParagraph"/>
              <w:rPr>
                <w:sz w:val="18"/>
              </w:rPr>
            </w:pPr>
            <w:r>
              <w:rPr>
                <w:sz w:val="18"/>
              </w:rPr>
              <w:t xml:space="preserve">Tim </w:t>
            </w:r>
            <w:proofErr w:type="spellStart"/>
            <w:r>
              <w:rPr>
                <w:sz w:val="18"/>
              </w:rPr>
              <w:t>Bowersock</w:t>
            </w:r>
            <w:proofErr w:type="spellEnd"/>
          </w:p>
        </w:tc>
      </w:tr>
      <w:tr w:rsidR="00547B71" w14:paraId="4FF5BF0B" w14:textId="77777777">
        <w:trPr>
          <w:trHeight w:hRule="exact" w:val="2955"/>
        </w:trPr>
        <w:tc>
          <w:tcPr>
            <w:tcW w:w="1170" w:type="dxa"/>
          </w:tcPr>
          <w:p w14:paraId="66867710" w14:textId="77777777" w:rsidR="00547B71" w:rsidRDefault="00A942C3">
            <w:pPr>
              <w:pStyle w:val="TableParagraph"/>
              <w:rPr>
                <w:sz w:val="18"/>
              </w:rPr>
            </w:pPr>
            <w:r>
              <w:rPr>
                <w:sz w:val="18"/>
              </w:rPr>
              <w:t>3.0</w:t>
            </w:r>
          </w:p>
        </w:tc>
        <w:tc>
          <w:tcPr>
            <w:tcW w:w="2865" w:type="dxa"/>
          </w:tcPr>
          <w:p w14:paraId="4F929327" w14:textId="77777777" w:rsidR="00547B71" w:rsidRDefault="00A942C3">
            <w:pPr>
              <w:pStyle w:val="TableParagraph"/>
              <w:spacing w:line="242" w:lineRule="auto"/>
              <w:ind w:right="237"/>
              <w:rPr>
                <w:sz w:val="18"/>
              </w:rPr>
            </w:pPr>
            <w:r>
              <w:rPr>
                <w:sz w:val="18"/>
              </w:rPr>
              <w:t>2.0 Scope language updated to reflect global scope of policy</w:t>
            </w:r>
          </w:p>
          <w:p w14:paraId="4524200D" w14:textId="77777777" w:rsidR="00547B71" w:rsidRDefault="00547B71">
            <w:pPr>
              <w:pStyle w:val="TableParagraph"/>
              <w:spacing w:before="4"/>
              <w:ind w:left="0"/>
              <w:rPr>
                <w:b/>
                <w:sz w:val="18"/>
              </w:rPr>
            </w:pPr>
          </w:p>
          <w:p w14:paraId="15EE673F" w14:textId="77777777" w:rsidR="00547B71" w:rsidRDefault="00A942C3">
            <w:pPr>
              <w:pStyle w:val="TableParagraph"/>
              <w:spacing w:before="0" w:line="242" w:lineRule="auto"/>
              <w:ind w:right="368"/>
              <w:rPr>
                <w:sz w:val="18"/>
              </w:rPr>
            </w:pPr>
            <w:r>
              <w:rPr>
                <w:sz w:val="18"/>
              </w:rPr>
              <w:t>6.0 Review Cycle - updated standardized language added</w:t>
            </w:r>
          </w:p>
          <w:p w14:paraId="75FB8B2A" w14:textId="77777777" w:rsidR="00547B71" w:rsidRDefault="00547B71">
            <w:pPr>
              <w:pStyle w:val="TableParagraph"/>
              <w:spacing w:before="4"/>
              <w:ind w:left="0"/>
              <w:rPr>
                <w:b/>
                <w:sz w:val="18"/>
              </w:rPr>
            </w:pPr>
          </w:p>
          <w:p w14:paraId="4E16BBB3" w14:textId="77777777" w:rsidR="00547B71" w:rsidRDefault="00A942C3">
            <w:pPr>
              <w:pStyle w:val="TableParagraph"/>
              <w:spacing w:before="0" w:line="242" w:lineRule="auto"/>
              <w:ind w:right="468"/>
              <w:rPr>
                <w:sz w:val="18"/>
              </w:rPr>
            </w:pPr>
            <w:r>
              <w:rPr>
                <w:sz w:val="18"/>
              </w:rPr>
              <w:t>GDPR content adds/edits by Legal:</w:t>
            </w:r>
          </w:p>
          <w:p w14:paraId="592B9C2A" w14:textId="77777777" w:rsidR="00547B71" w:rsidRDefault="00A942C3">
            <w:pPr>
              <w:pStyle w:val="TableParagraph"/>
              <w:spacing w:before="1"/>
              <w:rPr>
                <w:sz w:val="18"/>
              </w:rPr>
            </w:pPr>
            <w:r>
              <w:rPr>
                <w:sz w:val="18"/>
              </w:rPr>
              <w:t>1.0 Incident handling expanded</w:t>
            </w:r>
          </w:p>
          <w:p w14:paraId="7912E4CD" w14:textId="77777777" w:rsidR="00547B71" w:rsidRDefault="00A942C3">
            <w:pPr>
              <w:pStyle w:val="TableParagraph"/>
              <w:spacing w:before="3" w:line="242" w:lineRule="auto"/>
              <w:ind w:right="328"/>
              <w:rPr>
                <w:sz w:val="18"/>
              </w:rPr>
            </w:pPr>
            <w:r>
              <w:rPr>
                <w:sz w:val="18"/>
              </w:rPr>
              <w:t>2.0 Definition of security event and Scope language updated</w:t>
            </w:r>
          </w:p>
          <w:p w14:paraId="64E07BBD" w14:textId="77777777" w:rsidR="00547B71" w:rsidRDefault="00A942C3">
            <w:pPr>
              <w:pStyle w:val="TableParagraph"/>
              <w:spacing w:before="1" w:line="242" w:lineRule="auto"/>
              <w:ind w:right="468"/>
              <w:rPr>
                <w:sz w:val="18"/>
              </w:rPr>
            </w:pPr>
            <w:r>
              <w:rPr>
                <w:sz w:val="18"/>
              </w:rPr>
              <w:t>4.0 Legal department GDPR compatible language added</w:t>
            </w:r>
          </w:p>
        </w:tc>
        <w:tc>
          <w:tcPr>
            <w:tcW w:w="1815" w:type="dxa"/>
          </w:tcPr>
          <w:p w14:paraId="12F7F7D3" w14:textId="77777777" w:rsidR="00547B71" w:rsidRDefault="00547B71"/>
        </w:tc>
        <w:tc>
          <w:tcPr>
            <w:tcW w:w="3405" w:type="dxa"/>
          </w:tcPr>
          <w:p w14:paraId="4DEB1E49" w14:textId="77777777" w:rsidR="00547B71" w:rsidRDefault="00A942C3">
            <w:pPr>
              <w:pStyle w:val="TableParagraph"/>
              <w:rPr>
                <w:sz w:val="18"/>
              </w:rPr>
            </w:pPr>
            <w:r>
              <w:rPr>
                <w:sz w:val="18"/>
              </w:rPr>
              <w:t xml:space="preserve">Tim </w:t>
            </w:r>
            <w:proofErr w:type="spellStart"/>
            <w:r>
              <w:rPr>
                <w:sz w:val="18"/>
              </w:rPr>
              <w:t>Bowersock</w:t>
            </w:r>
            <w:proofErr w:type="spellEnd"/>
          </w:p>
        </w:tc>
      </w:tr>
      <w:tr w:rsidR="00547B71" w14:paraId="7A2703D6" w14:textId="77777777">
        <w:trPr>
          <w:trHeight w:hRule="exact" w:val="435"/>
        </w:trPr>
        <w:tc>
          <w:tcPr>
            <w:tcW w:w="1170" w:type="dxa"/>
          </w:tcPr>
          <w:p w14:paraId="21AEF1BF" w14:textId="77777777" w:rsidR="00547B71" w:rsidRDefault="00A942C3">
            <w:pPr>
              <w:pStyle w:val="TableParagraph"/>
              <w:rPr>
                <w:sz w:val="18"/>
              </w:rPr>
            </w:pPr>
            <w:r>
              <w:rPr>
                <w:sz w:val="18"/>
              </w:rPr>
              <w:t>4.0</w:t>
            </w:r>
          </w:p>
        </w:tc>
        <w:tc>
          <w:tcPr>
            <w:tcW w:w="2865" w:type="dxa"/>
          </w:tcPr>
          <w:p w14:paraId="4F7D03AD" w14:textId="77777777" w:rsidR="00547B71" w:rsidRDefault="00A942C3">
            <w:pPr>
              <w:pStyle w:val="TableParagraph"/>
              <w:rPr>
                <w:sz w:val="18"/>
              </w:rPr>
            </w:pPr>
            <w:r>
              <w:rPr>
                <w:sz w:val="18"/>
              </w:rPr>
              <w:t>Annual Review</w:t>
            </w:r>
          </w:p>
        </w:tc>
        <w:tc>
          <w:tcPr>
            <w:tcW w:w="1815" w:type="dxa"/>
          </w:tcPr>
          <w:p w14:paraId="0A02F525" w14:textId="77777777" w:rsidR="00547B71" w:rsidRDefault="00A942C3">
            <w:pPr>
              <w:pStyle w:val="TableParagraph"/>
              <w:ind w:left="585"/>
              <w:rPr>
                <w:sz w:val="18"/>
              </w:rPr>
            </w:pPr>
            <w:r>
              <w:rPr>
                <w:sz w:val="18"/>
              </w:rPr>
              <w:t>2/14/19</w:t>
            </w:r>
          </w:p>
        </w:tc>
        <w:tc>
          <w:tcPr>
            <w:tcW w:w="3405" w:type="dxa"/>
          </w:tcPr>
          <w:p w14:paraId="2E833222" w14:textId="77777777" w:rsidR="00547B71" w:rsidRDefault="00A942C3">
            <w:pPr>
              <w:pStyle w:val="TableParagraph"/>
              <w:rPr>
                <w:sz w:val="18"/>
              </w:rPr>
            </w:pPr>
            <w:r>
              <w:rPr>
                <w:sz w:val="18"/>
              </w:rPr>
              <w:t xml:space="preserve">Tim </w:t>
            </w:r>
            <w:proofErr w:type="spellStart"/>
            <w:r>
              <w:rPr>
                <w:sz w:val="18"/>
              </w:rPr>
              <w:t>Bowersock</w:t>
            </w:r>
            <w:proofErr w:type="spellEnd"/>
          </w:p>
        </w:tc>
      </w:tr>
      <w:tr w:rsidR="00547B71" w14:paraId="57809848" w14:textId="77777777">
        <w:trPr>
          <w:trHeight w:hRule="exact" w:val="3585"/>
        </w:trPr>
        <w:tc>
          <w:tcPr>
            <w:tcW w:w="1170" w:type="dxa"/>
          </w:tcPr>
          <w:p w14:paraId="45CB1F81" w14:textId="77777777" w:rsidR="00547B71" w:rsidRDefault="00A942C3">
            <w:pPr>
              <w:pStyle w:val="TableParagraph"/>
              <w:rPr>
                <w:sz w:val="18"/>
              </w:rPr>
            </w:pPr>
            <w:r>
              <w:rPr>
                <w:sz w:val="18"/>
              </w:rPr>
              <w:t>4.1</w:t>
            </w:r>
          </w:p>
        </w:tc>
        <w:tc>
          <w:tcPr>
            <w:tcW w:w="2865" w:type="dxa"/>
          </w:tcPr>
          <w:p w14:paraId="1C846DF5" w14:textId="77777777" w:rsidR="00547B71" w:rsidRDefault="00A942C3">
            <w:pPr>
              <w:pStyle w:val="TableParagraph"/>
              <w:rPr>
                <w:sz w:val="18"/>
              </w:rPr>
            </w:pPr>
            <w:r>
              <w:rPr>
                <w:sz w:val="18"/>
              </w:rPr>
              <w:t>Annual Review</w:t>
            </w:r>
          </w:p>
          <w:p w14:paraId="1F7B1E88" w14:textId="77777777" w:rsidR="00547B71" w:rsidRDefault="00547B71">
            <w:pPr>
              <w:pStyle w:val="TableParagraph"/>
              <w:spacing w:before="6"/>
              <w:ind w:left="0"/>
              <w:rPr>
                <w:b/>
                <w:sz w:val="18"/>
              </w:rPr>
            </w:pPr>
          </w:p>
          <w:p w14:paraId="514F08AB" w14:textId="77777777" w:rsidR="00547B71" w:rsidRDefault="00A942C3">
            <w:pPr>
              <w:pStyle w:val="TableParagraph"/>
              <w:spacing w:before="0" w:line="242" w:lineRule="auto"/>
              <w:ind w:right="188"/>
              <w:rPr>
                <w:sz w:val="18"/>
              </w:rPr>
            </w:pPr>
            <w:r>
              <w:rPr>
                <w:sz w:val="18"/>
              </w:rPr>
              <w:t>Signature block: Director signature removed per IS Policy Management Standard</w:t>
            </w:r>
          </w:p>
          <w:p w14:paraId="600C69FA" w14:textId="77777777" w:rsidR="00547B71" w:rsidRDefault="00547B71">
            <w:pPr>
              <w:pStyle w:val="TableParagraph"/>
              <w:spacing w:before="4"/>
              <w:ind w:left="0"/>
              <w:rPr>
                <w:b/>
                <w:sz w:val="18"/>
              </w:rPr>
            </w:pPr>
          </w:p>
          <w:p w14:paraId="574A7E33" w14:textId="77777777" w:rsidR="00547B71" w:rsidRDefault="00A942C3">
            <w:pPr>
              <w:pStyle w:val="TableParagraph"/>
              <w:spacing w:before="0"/>
              <w:rPr>
                <w:sz w:val="18"/>
              </w:rPr>
            </w:pPr>
            <w:r>
              <w:rPr>
                <w:sz w:val="18"/>
              </w:rPr>
              <w:t>Section 2.0 update:</w:t>
            </w:r>
          </w:p>
          <w:p w14:paraId="5FD85752" w14:textId="77777777" w:rsidR="00547B71" w:rsidRDefault="00547B71">
            <w:pPr>
              <w:pStyle w:val="TableParagraph"/>
              <w:spacing w:before="6"/>
              <w:ind w:left="0"/>
              <w:rPr>
                <w:b/>
                <w:sz w:val="18"/>
              </w:rPr>
            </w:pPr>
          </w:p>
          <w:p w14:paraId="099ADB1B" w14:textId="77777777" w:rsidR="00547B71" w:rsidRDefault="00A942C3">
            <w:pPr>
              <w:pStyle w:val="TableParagraph"/>
              <w:numPr>
                <w:ilvl w:val="0"/>
                <w:numId w:val="1"/>
              </w:numPr>
              <w:tabs>
                <w:tab w:val="left" w:pos="809"/>
                <w:tab w:val="left" w:pos="810"/>
              </w:tabs>
              <w:spacing w:before="0"/>
              <w:rPr>
                <w:sz w:val="18"/>
              </w:rPr>
            </w:pPr>
            <w:r>
              <w:rPr>
                <w:sz w:val="18"/>
              </w:rPr>
              <w:t>Added “&amp; Definitions”</w:t>
            </w:r>
          </w:p>
          <w:p w14:paraId="14D44705" w14:textId="77777777" w:rsidR="00547B71" w:rsidRDefault="00A942C3">
            <w:pPr>
              <w:pStyle w:val="TableParagraph"/>
              <w:numPr>
                <w:ilvl w:val="0"/>
                <w:numId w:val="1"/>
              </w:numPr>
              <w:tabs>
                <w:tab w:val="left" w:pos="809"/>
                <w:tab w:val="left" w:pos="810"/>
              </w:tabs>
              <w:spacing w:before="3"/>
              <w:rPr>
                <w:sz w:val="18"/>
              </w:rPr>
            </w:pPr>
            <w:r>
              <w:rPr>
                <w:sz w:val="18"/>
              </w:rPr>
              <w:t>Paragraph restructure</w:t>
            </w:r>
          </w:p>
          <w:p w14:paraId="2EB544BD" w14:textId="77777777" w:rsidR="00547B71" w:rsidRDefault="00A942C3">
            <w:pPr>
              <w:pStyle w:val="TableParagraph"/>
              <w:numPr>
                <w:ilvl w:val="0"/>
                <w:numId w:val="1"/>
              </w:numPr>
              <w:tabs>
                <w:tab w:val="left" w:pos="809"/>
                <w:tab w:val="left" w:pos="810"/>
              </w:tabs>
              <w:spacing w:before="3" w:line="242" w:lineRule="auto"/>
              <w:ind w:right="137"/>
              <w:rPr>
                <w:sz w:val="18"/>
              </w:rPr>
            </w:pPr>
            <w:r>
              <w:rPr>
                <w:sz w:val="18"/>
              </w:rPr>
              <w:t>Updated last paragraph to present requirements</w:t>
            </w:r>
          </w:p>
          <w:p w14:paraId="7B1AC9CB" w14:textId="77777777" w:rsidR="00547B71" w:rsidRDefault="00547B71">
            <w:pPr>
              <w:pStyle w:val="TableParagraph"/>
              <w:spacing w:before="4"/>
              <w:ind w:left="0"/>
              <w:rPr>
                <w:b/>
                <w:sz w:val="18"/>
              </w:rPr>
            </w:pPr>
          </w:p>
          <w:p w14:paraId="4DBC675B" w14:textId="77777777" w:rsidR="00547B71" w:rsidRDefault="00A942C3">
            <w:pPr>
              <w:pStyle w:val="TableParagraph"/>
              <w:spacing w:before="0" w:line="242" w:lineRule="auto"/>
              <w:ind w:right="238"/>
              <w:rPr>
                <w:sz w:val="18"/>
              </w:rPr>
            </w:pPr>
            <w:r>
              <w:rPr>
                <w:sz w:val="18"/>
              </w:rPr>
              <w:t>Swapped sections 5.0 &amp; 7.0 to meet updated document format requirements.</w:t>
            </w:r>
          </w:p>
        </w:tc>
        <w:tc>
          <w:tcPr>
            <w:tcW w:w="1815" w:type="dxa"/>
          </w:tcPr>
          <w:p w14:paraId="4FD5FC94" w14:textId="77777777" w:rsidR="00547B71" w:rsidRDefault="00A942C3">
            <w:pPr>
              <w:pStyle w:val="TableParagraph"/>
              <w:spacing w:before="107"/>
              <w:ind w:left="252"/>
              <w:rPr>
                <w:rFonts w:ascii="Lucida Console"/>
                <w:sz w:val="18"/>
              </w:rPr>
            </w:pPr>
            <w:r>
              <w:rPr>
                <w:rFonts w:ascii="Lucida Console"/>
                <w:sz w:val="18"/>
              </w:rPr>
              <w:t>12/11/2019</w:t>
            </w:r>
          </w:p>
        </w:tc>
        <w:tc>
          <w:tcPr>
            <w:tcW w:w="3405" w:type="dxa"/>
          </w:tcPr>
          <w:p w14:paraId="5F479088" w14:textId="77777777" w:rsidR="00547B71" w:rsidRDefault="00A942C3">
            <w:pPr>
              <w:pStyle w:val="TableParagraph"/>
              <w:rPr>
                <w:sz w:val="18"/>
              </w:rPr>
            </w:pPr>
            <w:r>
              <w:rPr>
                <w:sz w:val="18"/>
              </w:rPr>
              <w:t xml:space="preserve">Tim </w:t>
            </w:r>
            <w:proofErr w:type="spellStart"/>
            <w:r>
              <w:rPr>
                <w:sz w:val="18"/>
              </w:rPr>
              <w:t>Bowersock</w:t>
            </w:r>
            <w:proofErr w:type="spellEnd"/>
          </w:p>
        </w:tc>
      </w:tr>
    </w:tbl>
    <w:p w14:paraId="7B5EEB0D" w14:textId="77777777" w:rsidR="00A942C3" w:rsidRDefault="00A942C3"/>
    <w:sectPr w:rsidR="00A942C3">
      <w:pgSz w:w="12240" w:h="15840"/>
      <w:pgMar w:top="1180" w:right="960" w:bottom="1000" w:left="240" w:header="219" w:footer="8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C3525" w14:textId="77777777" w:rsidR="00A942C3" w:rsidRDefault="00A942C3">
      <w:r>
        <w:separator/>
      </w:r>
    </w:p>
  </w:endnote>
  <w:endnote w:type="continuationSeparator" w:id="0">
    <w:p w14:paraId="37E42B2E" w14:textId="77777777" w:rsidR="00A942C3" w:rsidRDefault="00A94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119E1" w14:textId="41F39D04" w:rsidR="00547B71" w:rsidRDefault="00A942C3">
    <w:pPr>
      <w:pStyle w:val="a3"/>
      <w:spacing w:line="14" w:lineRule="auto"/>
    </w:pPr>
    <w:r>
      <w:pict w14:anchorId="058B9B12">
        <v:shapetype id="_x0000_t202" coordsize="21600,21600" o:spt="202" path="m,l,21600r21600,l21600,xe">
          <v:stroke joinstyle="miter"/>
          <v:path gradientshapeok="t" o:connecttype="rect"/>
        </v:shapetype>
        <v:shape id="_x0000_s2050" type="#_x0000_t202" style="position:absolute;margin-left:148.55pt;margin-top:740.1pt;width:364.7pt;height:12.1pt;z-index:-9040;mso-position-horizontal-relative:page;mso-position-vertical-relative:page" filled="f" stroked="f">
          <v:textbox inset="0,0,0,0">
            <w:txbxContent>
              <w:p w14:paraId="569070B2" w14:textId="409AAC8D" w:rsidR="00547B71" w:rsidRDefault="00A942C3">
                <w:pPr>
                  <w:spacing w:before="14"/>
                  <w:ind w:left="20"/>
                  <w:rPr>
                    <w:sz w:val="18"/>
                  </w:rPr>
                </w:pPr>
                <w:r>
                  <w:rPr>
                    <w:sz w:val="18"/>
                  </w:rPr>
                  <w:t xml:space="preserve">Information Security Incident Response Management Policy </w:t>
                </w:r>
              </w:p>
            </w:txbxContent>
          </v:textbox>
          <w10:wrap anchorx="page" anchory="page"/>
        </v:shape>
      </w:pict>
    </w:r>
    <w:r>
      <w:pict w14:anchorId="57C8BD08">
        <v:shape id="_x0000_s2049" type="#_x0000_t202" style="position:absolute;margin-left:533.5pt;margin-top:740.1pt;width:25.55pt;height:12.1pt;z-index:-9016;mso-position-horizontal-relative:page;mso-position-vertical-relative:page" filled="f" stroked="f">
          <v:textbox inset="0,0,0,0">
            <w:txbxContent>
              <w:p w14:paraId="02D08983" w14:textId="77777777" w:rsidR="00547B71" w:rsidRDefault="00A942C3">
                <w:pPr>
                  <w:spacing w:before="14"/>
                  <w:ind w:left="40"/>
                  <w:rPr>
                    <w:sz w:val="18"/>
                  </w:rPr>
                </w:pPr>
                <w:r>
                  <w:fldChar w:fldCharType="begin"/>
                </w:r>
                <w:r>
                  <w:rPr>
                    <w:sz w:val="18"/>
                  </w:rPr>
                  <w:instrText xml:space="preserve"> PAGE </w:instrText>
                </w:r>
                <w:r>
                  <w:fldChar w:fldCharType="separate"/>
                </w:r>
                <w:r>
                  <w:t>1</w:t>
                </w:r>
                <w:r>
                  <w:fldChar w:fldCharType="end"/>
                </w:r>
                <w:r>
                  <w:rPr>
                    <w:sz w:val="18"/>
                  </w:rPr>
                  <w:t xml:space="preserve"> of 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507DE" w14:textId="77777777" w:rsidR="00A942C3" w:rsidRDefault="00A942C3">
      <w:r>
        <w:separator/>
      </w:r>
    </w:p>
  </w:footnote>
  <w:footnote w:type="continuationSeparator" w:id="0">
    <w:p w14:paraId="5BA0C1A9" w14:textId="77777777" w:rsidR="00A942C3" w:rsidRDefault="00A94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1744D" w14:textId="4530E171" w:rsidR="00547B71" w:rsidRDefault="00A942C3">
    <w:pPr>
      <w:pStyle w:val="a3"/>
      <w:spacing w:line="14" w:lineRule="auto"/>
    </w:pPr>
    <w:r>
      <w:pict w14:anchorId="4C77A82B">
        <v:shapetype id="_x0000_t202" coordsize="21600,21600" o:spt="202" path="m,l,21600r21600,l21600,xe">
          <v:stroke joinstyle="miter"/>
          <v:path gradientshapeok="t" o:connecttype="rect"/>
        </v:shapetype>
        <v:shape id="_x0000_s2052" type="#_x0000_t202" style="position:absolute;margin-left:16pt;margin-top:9.95pt;width:255.95pt;height:10.95pt;z-index:-9088;mso-position-horizontal-relative:page;mso-position-vertical-relative:page" filled="f" stroked="f">
          <v:textbox inset="0,0,0,0">
            <w:txbxContent>
              <w:p w14:paraId="4B08BE49" w14:textId="1E93042C" w:rsidR="00547B71" w:rsidRDefault="00547B71">
                <w:pPr>
                  <w:spacing w:before="14"/>
                  <w:ind w:left="20"/>
                  <w:rPr>
                    <w:sz w:val="1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D4804"/>
    <w:multiLevelType w:val="multilevel"/>
    <w:tmpl w:val="FB1060B6"/>
    <w:lvl w:ilvl="0">
      <w:start w:val="4"/>
      <w:numFmt w:val="decimal"/>
      <w:lvlText w:val="%1"/>
      <w:lvlJc w:val="left"/>
      <w:pPr>
        <w:ind w:left="2280" w:hanging="720"/>
        <w:jc w:val="left"/>
      </w:pPr>
      <w:rPr>
        <w:rFonts w:hint="default"/>
      </w:rPr>
    </w:lvl>
    <w:lvl w:ilvl="1">
      <w:numFmt w:val="decimal"/>
      <w:lvlText w:val="%1.%2"/>
      <w:lvlJc w:val="left"/>
      <w:pPr>
        <w:ind w:left="2280" w:hanging="720"/>
        <w:jc w:val="right"/>
      </w:pPr>
      <w:rPr>
        <w:rFonts w:hint="default"/>
        <w:b/>
        <w:bCs/>
        <w:w w:val="99"/>
      </w:rPr>
    </w:lvl>
    <w:lvl w:ilvl="2">
      <w:start w:val="1"/>
      <w:numFmt w:val="decimal"/>
      <w:lvlText w:val="%3)"/>
      <w:lvlJc w:val="left"/>
      <w:pPr>
        <w:ind w:left="3000" w:hanging="360"/>
        <w:jc w:val="left"/>
      </w:pPr>
      <w:rPr>
        <w:rFonts w:ascii="Arial" w:eastAsia="Arial" w:hAnsi="Arial" w:cs="Arial" w:hint="default"/>
        <w:spacing w:val="-1"/>
        <w:w w:val="99"/>
        <w:sz w:val="20"/>
        <w:szCs w:val="20"/>
      </w:rPr>
    </w:lvl>
    <w:lvl w:ilvl="3">
      <w:numFmt w:val="bullet"/>
      <w:lvlText w:val="•"/>
      <w:lvlJc w:val="left"/>
      <w:pPr>
        <w:ind w:left="4786" w:hanging="360"/>
      </w:pPr>
      <w:rPr>
        <w:rFonts w:hint="default"/>
      </w:rPr>
    </w:lvl>
    <w:lvl w:ilvl="4">
      <w:numFmt w:val="bullet"/>
      <w:lvlText w:val="•"/>
      <w:lvlJc w:val="left"/>
      <w:pPr>
        <w:ind w:left="5680" w:hanging="360"/>
      </w:pPr>
      <w:rPr>
        <w:rFonts w:hint="default"/>
      </w:rPr>
    </w:lvl>
    <w:lvl w:ilvl="5">
      <w:numFmt w:val="bullet"/>
      <w:lvlText w:val="•"/>
      <w:lvlJc w:val="left"/>
      <w:pPr>
        <w:ind w:left="6573" w:hanging="360"/>
      </w:pPr>
      <w:rPr>
        <w:rFonts w:hint="default"/>
      </w:rPr>
    </w:lvl>
    <w:lvl w:ilvl="6">
      <w:numFmt w:val="bullet"/>
      <w:lvlText w:val="•"/>
      <w:lvlJc w:val="left"/>
      <w:pPr>
        <w:ind w:left="7466" w:hanging="360"/>
      </w:pPr>
      <w:rPr>
        <w:rFonts w:hint="default"/>
      </w:rPr>
    </w:lvl>
    <w:lvl w:ilvl="7">
      <w:numFmt w:val="bullet"/>
      <w:lvlText w:val="•"/>
      <w:lvlJc w:val="left"/>
      <w:pPr>
        <w:ind w:left="8360" w:hanging="360"/>
      </w:pPr>
      <w:rPr>
        <w:rFonts w:hint="default"/>
      </w:rPr>
    </w:lvl>
    <w:lvl w:ilvl="8">
      <w:numFmt w:val="bullet"/>
      <w:lvlText w:val="•"/>
      <w:lvlJc w:val="left"/>
      <w:pPr>
        <w:ind w:left="9253" w:hanging="360"/>
      </w:pPr>
      <w:rPr>
        <w:rFonts w:hint="default"/>
      </w:rPr>
    </w:lvl>
  </w:abstractNum>
  <w:abstractNum w:abstractNumId="1" w15:restartNumberingAfterBreak="0">
    <w:nsid w:val="3BB96E0C"/>
    <w:multiLevelType w:val="hybridMultilevel"/>
    <w:tmpl w:val="05BEB00C"/>
    <w:lvl w:ilvl="0" w:tplc="47FA9934">
      <w:numFmt w:val="bullet"/>
      <w:lvlText w:val="●"/>
      <w:lvlJc w:val="left"/>
      <w:pPr>
        <w:ind w:left="810" w:hanging="360"/>
      </w:pPr>
      <w:rPr>
        <w:rFonts w:ascii="Arial" w:eastAsia="Arial" w:hAnsi="Arial" w:cs="Arial" w:hint="default"/>
        <w:w w:val="100"/>
        <w:sz w:val="18"/>
        <w:szCs w:val="18"/>
      </w:rPr>
    </w:lvl>
    <w:lvl w:ilvl="1" w:tplc="D5FCE55C">
      <w:numFmt w:val="bullet"/>
      <w:lvlText w:val="•"/>
      <w:lvlJc w:val="left"/>
      <w:pPr>
        <w:ind w:left="1023" w:hanging="360"/>
      </w:pPr>
      <w:rPr>
        <w:rFonts w:hint="default"/>
      </w:rPr>
    </w:lvl>
    <w:lvl w:ilvl="2" w:tplc="993895F6">
      <w:numFmt w:val="bullet"/>
      <w:lvlText w:val="•"/>
      <w:lvlJc w:val="left"/>
      <w:pPr>
        <w:ind w:left="1226" w:hanging="360"/>
      </w:pPr>
      <w:rPr>
        <w:rFonts w:hint="default"/>
      </w:rPr>
    </w:lvl>
    <w:lvl w:ilvl="3" w:tplc="93E09E2C">
      <w:numFmt w:val="bullet"/>
      <w:lvlText w:val="•"/>
      <w:lvlJc w:val="left"/>
      <w:pPr>
        <w:ind w:left="1429" w:hanging="360"/>
      </w:pPr>
      <w:rPr>
        <w:rFonts w:hint="default"/>
      </w:rPr>
    </w:lvl>
    <w:lvl w:ilvl="4" w:tplc="9D369F0E">
      <w:numFmt w:val="bullet"/>
      <w:lvlText w:val="•"/>
      <w:lvlJc w:val="left"/>
      <w:pPr>
        <w:ind w:left="1632" w:hanging="360"/>
      </w:pPr>
      <w:rPr>
        <w:rFonts w:hint="default"/>
      </w:rPr>
    </w:lvl>
    <w:lvl w:ilvl="5" w:tplc="54BE896E">
      <w:numFmt w:val="bullet"/>
      <w:lvlText w:val="•"/>
      <w:lvlJc w:val="left"/>
      <w:pPr>
        <w:ind w:left="1835" w:hanging="360"/>
      </w:pPr>
      <w:rPr>
        <w:rFonts w:hint="default"/>
      </w:rPr>
    </w:lvl>
    <w:lvl w:ilvl="6" w:tplc="A0A8EB38">
      <w:numFmt w:val="bullet"/>
      <w:lvlText w:val="•"/>
      <w:lvlJc w:val="left"/>
      <w:pPr>
        <w:ind w:left="2038" w:hanging="360"/>
      </w:pPr>
      <w:rPr>
        <w:rFonts w:hint="default"/>
      </w:rPr>
    </w:lvl>
    <w:lvl w:ilvl="7" w:tplc="68785432">
      <w:numFmt w:val="bullet"/>
      <w:lvlText w:val="•"/>
      <w:lvlJc w:val="left"/>
      <w:pPr>
        <w:ind w:left="2241" w:hanging="360"/>
      </w:pPr>
      <w:rPr>
        <w:rFonts w:hint="default"/>
      </w:rPr>
    </w:lvl>
    <w:lvl w:ilvl="8" w:tplc="65001B04">
      <w:numFmt w:val="bullet"/>
      <w:lvlText w:val="•"/>
      <w:lvlJc w:val="left"/>
      <w:pPr>
        <w:ind w:left="2444" w:hanging="360"/>
      </w:pPr>
      <w:rPr>
        <w:rFonts w:hint="default"/>
      </w:rPr>
    </w:lvl>
  </w:abstractNum>
  <w:abstractNum w:abstractNumId="2" w15:restartNumberingAfterBreak="0">
    <w:nsid w:val="5A385AD6"/>
    <w:multiLevelType w:val="multilevel"/>
    <w:tmpl w:val="FB7457FC"/>
    <w:lvl w:ilvl="0">
      <w:start w:val="2"/>
      <w:numFmt w:val="decimal"/>
      <w:lvlText w:val="%1"/>
      <w:lvlJc w:val="left"/>
      <w:pPr>
        <w:ind w:left="2280" w:hanging="720"/>
        <w:jc w:val="left"/>
      </w:pPr>
      <w:rPr>
        <w:rFonts w:hint="default"/>
      </w:rPr>
    </w:lvl>
    <w:lvl w:ilvl="1">
      <w:numFmt w:val="decimal"/>
      <w:lvlText w:val="%1.%2"/>
      <w:lvlJc w:val="left"/>
      <w:pPr>
        <w:ind w:left="2280" w:hanging="720"/>
        <w:jc w:val="left"/>
      </w:pPr>
      <w:rPr>
        <w:rFonts w:ascii="Arial" w:eastAsia="Arial" w:hAnsi="Arial" w:cs="Arial" w:hint="default"/>
        <w:b/>
        <w:bCs/>
        <w:w w:val="99"/>
        <w:sz w:val="24"/>
        <w:szCs w:val="24"/>
      </w:rPr>
    </w:lvl>
    <w:lvl w:ilvl="2">
      <w:numFmt w:val="bullet"/>
      <w:lvlText w:val="•"/>
      <w:lvlJc w:val="left"/>
      <w:pPr>
        <w:ind w:left="3000" w:hanging="126"/>
      </w:pPr>
      <w:rPr>
        <w:rFonts w:ascii="Arial" w:eastAsia="Arial" w:hAnsi="Arial" w:cs="Arial" w:hint="default"/>
        <w:w w:val="100"/>
        <w:sz w:val="20"/>
        <w:szCs w:val="20"/>
      </w:rPr>
    </w:lvl>
    <w:lvl w:ilvl="3">
      <w:numFmt w:val="bullet"/>
      <w:lvlText w:val="•"/>
      <w:lvlJc w:val="left"/>
      <w:pPr>
        <w:ind w:left="4786" w:hanging="126"/>
      </w:pPr>
      <w:rPr>
        <w:rFonts w:hint="default"/>
      </w:rPr>
    </w:lvl>
    <w:lvl w:ilvl="4">
      <w:numFmt w:val="bullet"/>
      <w:lvlText w:val="•"/>
      <w:lvlJc w:val="left"/>
      <w:pPr>
        <w:ind w:left="5680" w:hanging="126"/>
      </w:pPr>
      <w:rPr>
        <w:rFonts w:hint="default"/>
      </w:rPr>
    </w:lvl>
    <w:lvl w:ilvl="5">
      <w:numFmt w:val="bullet"/>
      <w:lvlText w:val="•"/>
      <w:lvlJc w:val="left"/>
      <w:pPr>
        <w:ind w:left="6573" w:hanging="126"/>
      </w:pPr>
      <w:rPr>
        <w:rFonts w:hint="default"/>
      </w:rPr>
    </w:lvl>
    <w:lvl w:ilvl="6">
      <w:numFmt w:val="bullet"/>
      <w:lvlText w:val="•"/>
      <w:lvlJc w:val="left"/>
      <w:pPr>
        <w:ind w:left="7466" w:hanging="126"/>
      </w:pPr>
      <w:rPr>
        <w:rFonts w:hint="default"/>
      </w:rPr>
    </w:lvl>
    <w:lvl w:ilvl="7">
      <w:numFmt w:val="bullet"/>
      <w:lvlText w:val="•"/>
      <w:lvlJc w:val="left"/>
      <w:pPr>
        <w:ind w:left="8360" w:hanging="126"/>
      </w:pPr>
      <w:rPr>
        <w:rFonts w:hint="default"/>
      </w:rPr>
    </w:lvl>
    <w:lvl w:ilvl="8">
      <w:numFmt w:val="bullet"/>
      <w:lvlText w:val="•"/>
      <w:lvlJc w:val="left"/>
      <w:pPr>
        <w:ind w:left="9253" w:hanging="126"/>
      </w:pPr>
      <w:rPr>
        <w:rFonts w:hint="default"/>
      </w:rPr>
    </w:lvl>
  </w:abstractNum>
  <w:abstractNum w:abstractNumId="3" w15:restartNumberingAfterBreak="0">
    <w:nsid w:val="766E2945"/>
    <w:multiLevelType w:val="hybridMultilevel"/>
    <w:tmpl w:val="F9D859E2"/>
    <w:lvl w:ilvl="0" w:tplc="99084566">
      <w:start w:val="1"/>
      <w:numFmt w:val="upperLetter"/>
      <w:lvlText w:val="%1."/>
      <w:lvlJc w:val="left"/>
      <w:pPr>
        <w:ind w:left="3000" w:hanging="360"/>
        <w:jc w:val="left"/>
      </w:pPr>
      <w:rPr>
        <w:rFonts w:ascii="Arial" w:eastAsia="Arial" w:hAnsi="Arial" w:cs="Arial" w:hint="default"/>
        <w:spacing w:val="-1"/>
        <w:w w:val="99"/>
        <w:sz w:val="20"/>
        <w:szCs w:val="20"/>
      </w:rPr>
    </w:lvl>
    <w:lvl w:ilvl="1" w:tplc="DA1261FA">
      <w:numFmt w:val="bullet"/>
      <w:lvlText w:val="•"/>
      <w:lvlJc w:val="left"/>
      <w:pPr>
        <w:ind w:left="3804" w:hanging="360"/>
      </w:pPr>
      <w:rPr>
        <w:rFonts w:hint="default"/>
      </w:rPr>
    </w:lvl>
    <w:lvl w:ilvl="2" w:tplc="19367E66">
      <w:numFmt w:val="bullet"/>
      <w:lvlText w:val="•"/>
      <w:lvlJc w:val="left"/>
      <w:pPr>
        <w:ind w:left="4608" w:hanging="360"/>
      </w:pPr>
      <w:rPr>
        <w:rFonts w:hint="default"/>
      </w:rPr>
    </w:lvl>
    <w:lvl w:ilvl="3" w:tplc="6E9E2E2C">
      <w:numFmt w:val="bullet"/>
      <w:lvlText w:val="•"/>
      <w:lvlJc w:val="left"/>
      <w:pPr>
        <w:ind w:left="5412" w:hanging="360"/>
      </w:pPr>
      <w:rPr>
        <w:rFonts w:hint="default"/>
      </w:rPr>
    </w:lvl>
    <w:lvl w:ilvl="4" w:tplc="B22E409A">
      <w:numFmt w:val="bullet"/>
      <w:lvlText w:val="•"/>
      <w:lvlJc w:val="left"/>
      <w:pPr>
        <w:ind w:left="6216" w:hanging="360"/>
      </w:pPr>
      <w:rPr>
        <w:rFonts w:hint="default"/>
      </w:rPr>
    </w:lvl>
    <w:lvl w:ilvl="5" w:tplc="D35C2864">
      <w:numFmt w:val="bullet"/>
      <w:lvlText w:val="•"/>
      <w:lvlJc w:val="left"/>
      <w:pPr>
        <w:ind w:left="7020" w:hanging="360"/>
      </w:pPr>
      <w:rPr>
        <w:rFonts w:hint="default"/>
      </w:rPr>
    </w:lvl>
    <w:lvl w:ilvl="6" w:tplc="C9E01312">
      <w:numFmt w:val="bullet"/>
      <w:lvlText w:val="•"/>
      <w:lvlJc w:val="left"/>
      <w:pPr>
        <w:ind w:left="7824" w:hanging="360"/>
      </w:pPr>
      <w:rPr>
        <w:rFonts w:hint="default"/>
      </w:rPr>
    </w:lvl>
    <w:lvl w:ilvl="7" w:tplc="07CC96C8">
      <w:numFmt w:val="bullet"/>
      <w:lvlText w:val="•"/>
      <w:lvlJc w:val="left"/>
      <w:pPr>
        <w:ind w:left="8628" w:hanging="360"/>
      </w:pPr>
      <w:rPr>
        <w:rFonts w:hint="default"/>
      </w:rPr>
    </w:lvl>
    <w:lvl w:ilvl="8" w:tplc="174631AE">
      <w:numFmt w:val="bullet"/>
      <w:lvlText w:val="•"/>
      <w:lvlJc w:val="left"/>
      <w:pPr>
        <w:ind w:left="9432" w:hanging="3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547B71"/>
    <w:rsid w:val="005361B7"/>
    <w:rsid w:val="00547B71"/>
    <w:rsid w:val="00A94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5BE8E60"/>
  <w15:docId w15:val="{D67DDBBC-8BED-4ED1-9A13-B0757D9B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ind w:left="1560"/>
      <w:outlineLvl w:val="0"/>
    </w:pPr>
    <w:rPr>
      <w:b/>
      <w:bCs/>
      <w:sz w:val="24"/>
      <w:szCs w:val="24"/>
    </w:rPr>
  </w:style>
  <w:style w:type="paragraph" w:styleId="2">
    <w:name w:val="heading 2"/>
    <w:basedOn w:val="a"/>
    <w:uiPriority w:val="9"/>
    <w:unhideWhenUsed/>
    <w:qFormat/>
    <w:pPr>
      <w:ind w:left="3000" w:hanging="720"/>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3000" w:hanging="360"/>
    </w:pPr>
  </w:style>
  <w:style w:type="paragraph" w:customStyle="1" w:styleId="TableParagraph">
    <w:name w:val="Table Paragraph"/>
    <w:basedOn w:val="a"/>
    <w:uiPriority w:val="1"/>
    <w:qFormat/>
    <w:pPr>
      <w:spacing w:before="116"/>
      <w:ind w:left="90"/>
    </w:pPr>
  </w:style>
  <w:style w:type="paragraph" w:styleId="a5">
    <w:name w:val="header"/>
    <w:basedOn w:val="a"/>
    <w:link w:val="a6"/>
    <w:uiPriority w:val="99"/>
    <w:unhideWhenUsed/>
    <w:rsid w:val="005361B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361B7"/>
    <w:rPr>
      <w:rFonts w:ascii="Arial" w:eastAsia="Arial" w:hAnsi="Arial" w:cs="Arial"/>
      <w:sz w:val="18"/>
      <w:szCs w:val="18"/>
    </w:rPr>
  </w:style>
  <w:style w:type="paragraph" w:styleId="a7">
    <w:name w:val="footer"/>
    <w:basedOn w:val="a"/>
    <w:link w:val="a8"/>
    <w:uiPriority w:val="99"/>
    <w:unhideWhenUsed/>
    <w:rsid w:val="005361B7"/>
    <w:pPr>
      <w:tabs>
        <w:tab w:val="center" w:pos="4153"/>
        <w:tab w:val="right" w:pos="8306"/>
      </w:tabs>
      <w:snapToGrid w:val="0"/>
    </w:pPr>
    <w:rPr>
      <w:sz w:val="18"/>
      <w:szCs w:val="18"/>
    </w:rPr>
  </w:style>
  <w:style w:type="character" w:customStyle="1" w:styleId="a8">
    <w:name w:val="页脚 字符"/>
    <w:basedOn w:val="a0"/>
    <w:link w:val="a7"/>
    <w:uiPriority w:val="99"/>
    <w:rsid w:val="005361B7"/>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infosecpolicyteam@costco.com" TargetMode="External"/><Relationship Id="rId4" Type="http://schemas.openxmlformats.org/officeDocument/2006/relationships/webSettings" Target="webSettings.xml"/><Relationship Id="rId9" Type="http://schemas.openxmlformats.org/officeDocument/2006/relationships/hyperlink" Target="mailto:infosecpolicyteam@cost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1657</Words>
  <Characters>9450</Characters>
  <Application>Microsoft Office Word</Application>
  <DocSecurity>0</DocSecurity>
  <Lines>78</Lines>
  <Paragraphs>22</Paragraphs>
  <ScaleCrop>false</ScaleCrop>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123</cp:lastModifiedBy>
  <cp:revision>2</cp:revision>
  <dcterms:created xsi:type="dcterms:W3CDTF">2021-07-10T12:02:00Z</dcterms:created>
  <dcterms:modified xsi:type="dcterms:W3CDTF">2021-07-10T04:05:00Z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2020-04-05T00:00:00Z</vt:filetime>
  </property>
  <property fmtid="{D5CDD505-2E9C-101B-9397-08002B2CF9AE}" pid="3" name="Creator">
    <vt:lpwstr>Adobe Acrobat Pro DC 20.6.20042</vt:lpwstr>
  </property>
  <property fmtid="{D5CDD505-2E9C-101B-9397-08002B2CF9AE}" pid="4" name="LastSaved">
    <vt:filetime>2021-07-10T00:00:00Z</vt:filetime>
  </property>
</Properties>
</file>