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b/>
          <w:bCs/>
          <w:color w:val="auto"/>
        </w:rPr>
      </w:pPr>
      <w:bookmarkStart w:id="0" w:name="Xb113f2bbd135164c1d5996877331ef1218f6d4c"/>
      <w:r>
        <w:rPr>
          <w:b/>
          <w:bCs/>
          <w:color w:val="auto"/>
        </w:rPr>
        <w:t>General Data Protection Regulation (GDPR): A Comprehensive Review</w:t>
      </w:r>
    </w:p>
    <w:p>
      <w:pPr>
        <w:pStyle w:val="23"/>
        <w:ind w:left="2160" w:leftChars="0" w:firstLine="720" w:firstLineChars="0"/>
      </w:pPr>
      <w:r>
        <w:t xml:space="preserve">Zhijun Jiang Student ID: 1339481 </w:t>
      </w:r>
    </w:p>
    <w:p>
      <w:pPr>
        <w:pStyle w:val="23"/>
        <w:ind w:left="720" w:leftChars="0" w:firstLine="720" w:firstLineChars="0"/>
      </w:pPr>
      <w:r>
        <w:t xml:space="preserve">New York Institute of Technology, Vancouver, and Canada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bookmarkStart w:id="15" w:name="_GoBack"/>
      <w:bookmarkEnd w:id="15"/>
      <w:r>
        <w:t>cjiang11@nyit.edu</w:t>
      </w:r>
    </w:p>
    <w:bookmarkEnd w:id="0"/>
    <w:p>
      <w:pPr>
        <w:pStyle w:val="4"/>
        <w:jc w:val="center"/>
        <w:rPr>
          <w:b/>
          <w:bCs/>
          <w:color w:val="auto"/>
        </w:rPr>
      </w:pPr>
      <w:bookmarkStart w:id="1" w:name="abstract"/>
      <w:r>
        <w:rPr>
          <w:b/>
          <w:bCs/>
          <w:color w:val="auto"/>
        </w:rPr>
        <w:t>Abstract</w:t>
      </w:r>
    </w:p>
    <w:p>
      <w:pPr>
        <w:pStyle w:val="23"/>
        <w:rPr>
          <w:b/>
          <w:bCs/>
        </w:rPr>
      </w:pPr>
      <w:r>
        <w:rPr>
          <w:b/>
          <w:bCs/>
        </w:rPr>
        <w:t>The General Data Protection Regulation (Regulation (EU) 2016/679, GDPR) represents a major transformation in how personal data is regulated across the European Union and globally. This paper presents a detailed analysis of the GDPR’s structure, guiding principles, operational requirements, and enforcement mechanisms. It examines lawful bases for processing, expanded data subject rights, data protection by design and by default, Data Protection Impact Assessments, breach notification duties, and cross-border data transfer restrictions. Real-world enforcement cases-including major actions involving Google, Amazon, and British Airways-illustrate how supervisory authorities interpret and apply the regulation. The paper concludes with practical recommendations for organizations aiming to maintain GDPR compliance in a rapidly evolving regulatory landscape.</w:t>
      </w:r>
    </w:p>
    <w:p>
      <w:pPr>
        <w:pStyle w:val="3"/>
        <w:rPr>
          <w:b/>
          <w:bCs/>
        </w:rPr>
      </w:pPr>
      <w:r>
        <w:rPr>
          <w:b/>
          <w:bCs/>
        </w:rPr>
        <w:t>Keywords: GDPR, privacy law, data protection, DPIA, EU regulation</w:t>
      </w:r>
    </w:p>
    <w:bookmarkEnd w:id="1"/>
    <w:p>
      <w:pPr>
        <w:pStyle w:val="23"/>
        <w:rPr>
          <w:i/>
          <w:iCs/>
        </w:rPr>
      </w:pPr>
      <w:bookmarkStart w:id="2" w:name="Xfdda028964b2b3933866b68bb2f6319157f710a"/>
      <w:r>
        <w:rPr>
          <w:i/>
          <w:iCs/>
        </w:rPr>
        <w:t>Controller: Entity determining the purposes and means of processing personal data.</w:t>
      </w:r>
    </w:p>
    <w:p>
      <w:pPr>
        <w:pStyle w:val="3"/>
        <w:rPr>
          <w:i/>
          <w:iCs/>
        </w:rPr>
      </w:pPr>
      <w:r>
        <w:rPr>
          <w:i/>
          <w:iCs/>
        </w:rPr>
        <w:t>Processor: Entity processing personal data on behalf of a controller.</w:t>
      </w:r>
    </w:p>
    <w:p>
      <w:pPr>
        <w:pStyle w:val="3"/>
        <w:rPr>
          <w:i/>
          <w:iCs/>
        </w:rPr>
      </w:pPr>
      <w:r>
        <w:rPr>
          <w:i/>
          <w:iCs/>
        </w:rPr>
        <w:t>Personal Data: Any information relating to an identified or identifiable natural person.</w:t>
      </w:r>
    </w:p>
    <w:p>
      <w:pPr>
        <w:pStyle w:val="3"/>
        <w:rPr>
          <w:i/>
          <w:iCs/>
        </w:rPr>
      </w:pPr>
      <w:r>
        <w:rPr>
          <w:i/>
          <w:iCs/>
        </w:rPr>
        <w:t>Special Category Data: Sensitive data such as racial or ethnic origin, political opinions, religious beliefs, biometric data, health data, or sexual orientation.</w:t>
      </w:r>
    </w:p>
    <w:p>
      <w:pPr>
        <w:pStyle w:val="3"/>
        <w:rPr>
          <w:i/>
          <w:iCs/>
        </w:rPr>
      </w:pPr>
      <w:r>
        <w:rPr>
          <w:i/>
          <w:iCs/>
        </w:rPr>
        <w:t>Data Subject Rights: Rights granted to individuals (e.g., access, rectification, erasure, restriction, portability, objection).</w:t>
      </w:r>
    </w:p>
    <w:p>
      <w:pPr>
        <w:pStyle w:val="3"/>
        <w:rPr>
          <w:i/>
          <w:iCs/>
        </w:rPr>
      </w:pPr>
      <w:r>
        <w:rPr>
          <w:i/>
          <w:iCs/>
        </w:rPr>
        <w:t>Data Protection Impact Assessment (DPIA): A risk assessment process required when processing is likely to result in high risk to individuals.</w:t>
      </w:r>
    </w:p>
    <w:p>
      <w:pPr>
        <w:pStyle w:val="3"/>
        <w:rPr>
          <w:i/>
          <w:iCs/>
        </w:rPr>
      </w:pPr>
      <w:r>
        <w:rPr>
          <w:i/>
          <w:iCs/>
        </w:rPr>
        <w:t>Standard Contractual Clauses (SCCs): European Commission-approved model clauses enabling lawful international data transfers.</w:t>
      </w:r>
    </w:p>
    <w:bookmarkEnd w:id="2"/>
    <w:p>
      <w:pPr>
        <w:pStyle w:val="4"/>
        <w:jc w:val="center"/>
        <w:rPr>
          <w:b/>
          <w:bCs/>
          <w:color w:val="auto"/>
        </w:rPr>
      </w:pPr>
      <w:bookmarkStart w:id="3" w:name="introduction"/>
      <w:r>
        <w:rPr>
          <w:b/>
          <w:bCs/>
          <w:color w:val="auto"/>
        </w:rPr>
        <w:t>Introduction</w:t>
      </w:r>
    </w:p>
    <w:p>
      <w:pPr>
        <w:pStyle w:val="23"/>
        <w:rPr>
          <w:sz w:val="22"/>
          <w:szCs w:val="22"/>
        </w:rPr>
      </w:pPr>
      <w:r>
        <w:rPr>
          <w:sz w:val="22"/>
          <w:szCs w:val="22"/>
        </w:rPr>
        <w:t>The General Data Protection Regulation (GDPR), effective May 2018, harmonizes data protection laws across EU member states and strengthens individual privacy rights. It replaces the 1995 Data Protection Directive and significantly broadens regulatory scope-applying extraterritorially to any organization processing personal data of individuals within the EU eurlex2016. The regulation aims to protect fundamental rights, enhance organizational accountability, and promote trust in a digital economy increasingly dependent on large-scale data processing. Since its adoption, the GDPR has influenced privacy frameworks in multiple jurisdictions, including California’s CCPA and Brazil’s LGPD.</w:t>
      </w:r>
    </w:p>
    <w:p>
      <w:pPr>
        <w:pStyle w:val="3"/>
        <w:jc w:val="center"/>
        <w:rPr>
          <w:rFonts w:asciiTheme="majorHAnsi" w:hAnsiTheme="majorHAnsi" w:eastAsiaTheme="majorEastAsia" w:cstheme="majorBidi"/>
          <w:b/>
          <w:bCs/>
          <w:color w:val="auto"/>
          <w:sz w:val="32"/>
          <w:szCs w:val="32"/>
          <w:lang w:val="en-US" w:eastAsia="zh-CN" w:bidi="ar-SA"/>
        </w:rPr>
      </w:pPr>
      <w:r>
        <w:rPr>
          <w:rFonts w:hint="default" w:asciiTheme="majorHAnsi" w:hAnsiTheme="majorHAnsi" w:eastAsiaTheme="majorEastAsia" w:cstheme="majorBidi"/>
          <w:b/>
          <w:bCs/>
          <w:color w:val="auto"/>
          <w:sz w:val="32"/>
          <w:szCs w:val="32"/>
          <w:lang w:val="en-US" w:eastAsia="zh-CN" w:bidi="ar-SA"/>
        </w:rPr>
        <w:t>Analysis</w:t>
      </w:r>
    </w:p>
    <w:bookmarkEnd w:id="3"/>
    <w:p>
      <w:pPr>
        <w:pStyle w:val="4"/>
        <w:rPr>
          <w:b/>
          <w:bCs/>
          <w:color w:val="auto"/>
          <w:sz w:val="24"/>
          <w:szCs w:val="24"/>
        </w:rPr>
      </w:pPr>
      <w:bookmarkStart w:id="4" w:name="structure-and-scope"/>
      <w:r>
        <w:rPr>
          <w:b/>
          <w:bCs/>
          <w:color w:val="auto"/>
          <w:sz w:val="24"/>
          <w:szCs w:val="24"/>
        </w:rPr>
        <w:t>Structure and Scope</w:t>
      </w:r>
    </w:p>
    <w:p>
      <w:pPr>
        <w:pStyle w:val="23"/>
        <w:rPr>
          <w:sz w:val="22"/>
          <w:szCs w:val="22"/>
        </w:rPr>
      </w:pPr>
      <w:r>
        <w:rPr>
          <w:sz w:val="22"/>
          <w:szCs w:val="22"/>
        </w:rPr>
        <w:t>The GDPR establishes foundational principles: lawfulness, fairness, transparency, purpose limitation, data minimization, accuracy, storage limitation, integrity and confidentiality, and accountability edpbBasics. These principles form the basis for operational compliance and regulatory evaluation.</w:t>
      </w:r>
    </w:p>
    <w:p>
      <w:pPr>
        <w:pStyle w:val="3"/>
        <w:rPr>
          <w:sz w:val="22"/>
          <w:szCs w:val="22"/>
        </w:rPr>
      </w:pPr>
      <w:r>
        <w:rPr>
          <w:sz w:val="22"/>
          <w:szCs w:val="22"/>
        </w:rPr>
        <w:t>The scope is intentionally broad: personal data covers both direct identifiers (e.g., names, email addresses) and indirect identifiers (e.g., IP addresses, device IDs). Controllers and processors must ensure that processing activities align with at least one lawful basis and adhere to data protection principles.</w:t>
      </w:r>
    </w:p>
    <w:p>
      <w:pPr>
        <w:pStyle w:val="3"/>
        <w:rPr>
          <w:sz w:val="22"/>
          <w:szCs w:val="22"/>
        </w:rPr>
      </w:pPr>
      <w:r>
        <w:rPr>
          <w:sz w:val="22"/>
          <w:szCs w:val="22"/>
        </w:rPr>
        <w:t>Supervisory authorities may issue administrative fines of up to €20 million or 4% of the organization’s global annual revenue-whichever is higher eurlex2016. This penalty structure has contributed to significant enforcement activity since 2018.</w:t>
      </w:r>
    </w:p>
    <w:bookmarkEnd w:id="4"/>
    <w:p>
      <w:pPr>
        <w:pStyle w:val="4"/>
        <w:rPr>
          <w:b/>
          <w:bCs/>
          <w:color w:val="auto"/>
          <w:sz w:val="24"/>
          <w:szCs w:val="24"/>
        </w:rPr>
      </w:pPr>
      <w:bookmarkStart w:id="5" w:name="lawful-bases-and-practical-implications"/>
      <w:r>
        <w:rPr>
          <w:b/>
          <w:bCs/>
          <w:color w:val="auto"/>
          <w:sz w:val="24"/>
          <w:szCs w:val="24"/>
        </w:rPr>
        <w:t>Lawful Bases and Practical Implications</w:t>
      </w:r>
    </w:p>
    <w:p>
      <w:pPr>
        <w:pStyle w:val="23"/>
        <w:rPr>
          <w:sz w:val="22"/>
          <w:szCs w:val="22"/>
        </w:rPr>
      </w:pPr>
      <w:r>
        <w:rPr>
          <w:sz w:val="22"/>
          <w:szCs w:val="22"/>
        </w:rPr>
        <w:t>Article 6 defines six lawful bases for processing. In practice, the three most used are consent, contract necessity, and legitimate interests.</w:t>
      </w:r>
    </w:p>
    <w:p>
      <w:pPr>
        <w:pStyle w:val="3"/>
        <w:rPr>
          <w:sz w:val="22"/>
          <w:szCs w:val="22"/>
        </w:rPr>
      </w:pPr>
      <w:r>
        <w:rPr>
          <w:sz w:val="22"/>
          <w:szCs w:val="22"/>
        </w:rPr>
        <w:t>Consent must be informed, specific, unambiguous, and freely given. Organizations must avoid pre-ticked boxes, bundled consent, and unclear language. Invalid consent has been a central issue in several high-profile cases, including CNIL’s decision against Google for insufficient clarity regarding personalized advertising practices cnilGoogle2019.</w:t>
      </w:r>
    </w:p>
    <w:p>
      <w:pPr>
        <w:pStyle w:val="3"/>
        <w:rPr>
          <w:sz w:val="22"/>
          <w:szCs w:val="22"/>
        </w:rPr>
      </w:pPr>
      <w:r>
        <w:rPr>
          <w:sz w:val="22"/>
          <w:szCs w:val="22"/>
        </w:rPr>
        <w:t>Contract necessity is appropriate when processing is essential for fulfilling a contract-such as shipping an online purchase. Organizations must avoid stretching this basis to cover secondary or marketing-related activities.</w:t>
      </w:r>
    </w:p>
    <w:p>
      <w:pPr>
        <w:pStyle w:val="3"/>
        <w:rPr>
          <w:sz w:val="22"/>
          <w:szCs w:val="22"/>
        </w:rPr>
      </w:pPr>
      <w:r>
        <w:rPr>
          <w:sz w:val="22"/>
          <w:szCs w:val="22"/>
        </w:rPr>
        <w:t>Legitimate interests allows processing when the controller’s interests are not overridden by risks to individuals’ rights. A documented balancing test is required. This basis is often used for fraud prevention, internal analytics, or basic customer communication; however, organizations must always provide an opt-out mechanism.</w:t>
      </w:r>
    </w:p>
    <w:bookmarkEnd w:id="5"/>
    <w:p>
      <w:pPr>
        <w:pStyle w:val="23"/>
      </w:pPr>
      <w:bookmarkStart w:id="6" w:name="analysis"/>
      <w:r>
        <w:t>Documenting the lawful basis is essential for audit readiness and demonstrates the GDPR’s accountability principle.</w:t>
      </w:r>
    </w:p>
    <w:bookmarkEnd w:id="6"/>
    <w:p>
      <w:pPr>
        <w:pStyle w:val="4"/>
        <w:rPr>
          <w:b/>
          <w:bCs/>
          <w:color w:val="auto"/>
          <w:sz w:val="24"/>
          <w:szCs w:val="24"/>
        </w:rPr>
      </w:pPr>
      <w:bookmarkStart w:id="7" w:name="data-subject-rights"/>
      <w:r>
        <w:rPr>
          <w:b/>
          <w:bCs/>
          <w:color w:val="auto"/>
          <w:sz w:val="24"/>
          <w:szCs w:val="24"/>
        </w:rPr>
        <w:t>Data Subject Rights</w:t>
      </w:r>
    </w:p>
    <w:p>
      <w:pPr>
        <w:pStyle w:val="23"/>
      </w:pPr>
      <w:r>
        <w:t>The GDPR grants robust rights to individuals:</w:t>
      </w:r>
    </w:p>
    <w:p>
      <w:pPr>
        <w:pStyle w:val="3"/>
      </w:pPr>
      <w:r>
        <w:t>Right of access (Art. 15). Individuals may request confirmation of processing and receive a copy of their data. Controllers must respond within one month and verify identity.</w:t>
      </w:r>
    </w:p>
    <w:p>
      <w:pPr>
        <w:pStyle w:val="3"/>
      </w:pPr>
      <w:r>
        <w:t>Right to erasure (‘right to be forgotten,’ Art. 17). Individuals may request deletion when processing is no longer lawful. Retention may continue if required for compliance with legal obligations.</w:t>
      </w:r>
    </w:p>
    <w:p>
      <w:pPr>
        <w:pStyle w:val="3"/>
      </w:pPr>
      <w:r>
        <w:t>Right to data portability (Art. 20). Individuals must be able to receive their personal data in a structured, commonly used, machine-readable format. Many technology companies now provide automated export tools to satisfy this requirement.</w:t>
      </w:r>
    </w:p>
    <w:p>
      <w:pPr>
        <w:pStyle w:val="3"/>
      </w:pPr>
      <w:r>
        <w:t>To comply, organizations must maintain efficient data retrieval systems, authentication procedures, and standardized workflows for handling data subject requests.</w:t>
      </w:r>
    </w:p>
    <w:bookmarkEnd w:id="7"/>
    <w:p>
      <w:pPr>
        <w:pStyle w:val="4"/>
        <w:rPr>
          <w:b/>
          <w:bCs/>
          <w:color w:val="auto"/>
          <w:sz w:val="24"/>
          <w:szCs w:val="24"/>
        </w:rPr>
      </w:pPr>
      <w:bookmarkStart w:id="8" w:name="data-protection-by-design-and-dpias"/>
      <w:r>
        <w:rPr>
          <w:b/>
          <w:bCs/>
          <w:color w:val="auto"/>
          <w:sz w:val="24"/>
          <w:szCs w:val="24"/>
        </w:rPr>
        <w:t>Data Protection by Design and DPIAs</w:t>
      </w:r>
    </w:p>
    <w:p>
      <w:pPr>
        <w:pStyle w:val="23"/>
      </w:pPr>
      <w:r>
        <w:t>Article 25 requires privacy integration into technology and organizational processes from the design phase rather than as an afterthought. This affects system architecture, default settings, and product development lifecycles.</w:t>
      </w:r>
    </w:p>
    <w:p>
      <w:pPr>
        <w:pStyle w:val="3"/>
      </w:pPr>
      <w:r>
        <w:t>A DPIA is mandatory for high-risk processing such as large-scale biometric systems, behavioral profiling, or systems involving vulnerable populations edpbDPIA2022. DPIAs must evaluate:</w:t>
      </w:r>
    </w:p>
    <w:p>
      <w:pPr>
        <w:pStyle w:val="24"/>
        <w:numPr>
          <w:ilvl w:val="0"/>
          <w:numId w:val="1"/>
        </w:numPr>
      </w:pPr>
      <w:r>
        <w:t>processing nature, scope, and purpose,</w:t>
      </w:r>
    </w:p>
    <w:p>
      <w:pPr>
        <w:pStyle w:val="24"/>
        <w:numPr>
          <w:ilvl w:val="0"/>
          <w:numId w:val="1"/>
        </w:numPr>
      </w:pPr>
      <w:r>
        <w:t>risks to individual rights,</w:t>
      </w:r>
    </w:p>
    <w:p>
      <w:pPr>
        <w:pStyle w:val="24"/>
        <w:numPr>
          <w:ilvl w:val="0"/>
          <w:numId w:val="1"/>
        </w:numPr>
      </w:pPr>
      <w:r>
        <w:t>measures taken to reduce or eliminate risks.</w:t>
      </w:r>
    </w:p>
    <w:p>
      <w:pPr>
        <w:pStyle w:val="23"/>
      </w:pPr>
      <w:r>
        <w:t>If residual risk remains high, prior consultation with a supervisory authority is required.</w:t>
      </w:r>
    </w:p>
    <w:bookmarkEnd w:id="8"/>
    <w:p>
      <w:pPr>
        <w:pStyle w:val="4"/>
        <w:rPr>
          <w:b/>
          <w:bCs/>
          <w:color w:val="auto"/>
          <w:sz w:val="24"/>
          <w:szCs w:val="24"/>
        </w:rPr>
      </w:pPr>
      <w:bookmarkStart w:id="9" w:name="X7120eccdaa0e5e4271caf132c8119f51718a10d"/>
      <w:r>
        <w:rPr>
          <w:b/>
          <w:bCs/>
          <w:color w:val="auto"/>
          <w:sz w:val="24"/>
          <w:szCs w:val="24"/>
        </w:rPr>
        <w:t>Breach Notification and Incident Response</w:t>
      </w:r>
    </w:p>
    <w:p>
      <w:pPr>
        <w:pStyle w:val="23"/>
      </w:pPr>
      <w:r>
        <w:t>Controllers must notify supervisory authorities of personal data breaches within 72 hours of becoming aware, unless the breach is unlikely to pose a risk to individuals icoBreach. If the breach is likely to result in high risk, affected individuals must also be informed.</w:t>
      </w:r>
    </w:p>
    <w:p>
      <w:pPr>
        <w:pStyle w:val="3"/>
      </w:pPr>
      <w:r>
        <w:t>A mature incident response program includes:</w:t>
      </w:r>
    </w:p>
    <w:p>
      <w:pPr>
        <w:pStyle w:val="24"/>
        <w:numPr>
          <w:ilvl w:val="0"/>
          <w:numId w:val="1"/>
        </w:numPr>
      </w:pPr>
      <w:r>
        <w:t>real-time breach detection,</w:t>
      </w:r>
    </w:p>
    <w:p>
      <w:pPr>
        <w:pStyle w:val="24"/>
        <w:numPr>
          <w:ilvl w:val="0"/>
          <w:numId w:val="1"/>
        </w:numPr>
      </w:pPr>
      <w:r>
        <w:t>internal escalation procedures,</w:t>
      </w:r>
    </w:p>
    <w:p>
      <w:pPr>
        <w:pStyle w:val="24"/>
        <w:numPr>
          <w:ilvl w:val="0"/>
          <w:numId w:val="1"/>
        </w:numPr>
      </w:pPr>
      <w:r>
        <w:t>forensic investigation workflows,</w:t>
      </w:r>
    </w:p>
    <w:p>
      <w:pPr>
        <w:pStyle w:val="24"/>
        <w:numPr>
          <w:ilvl w:val="0"/>
          <w:numId w:val="1"/>
        </w:numPr>
      </w:pPr>
      <w:r>
        <w:t>communication templates for authorities and individuals.</w:t>
      </w:r>
    </w:p>
    <w:p>
      <w:pPr>
        <w:pStyle w:val="23"/>
      </w:pPr>
      <w:r>
        <w:t>The British Airways breach resulted in substantial fines due to inadequate security controls and delayed reporting, illustrating the importance of preparedness guardianAirline.</w:t>
      </w:r>
    </w:p>
    <w:bookmarkEnd w:id="9"/>
    <w:p>
      <w:pPr>
        <w:pStyle w:val="4"/>
        <w:rPr>
          <w:b/>
          <w:bCs/>
          <w:color w:val="auto"/>
          <w:sz w:val="24"/>
          <w:szCs w:val="24"/>
        </w:rPr>
      </w:pPr>
      <w:bookmarkStart w:id="10" w:name="cross-border-transfers"/>
      <w:r>
        <w:rPr>
          <w:b/>
          <w:bCs/>
          <w:color w:val="auto"/>
          <w:sz w:val="24"/>
          <w:szCs w:val="24"/>
        </w:rPr>
        <w:t>Cross-Border Transfers</w:t>
      </w:r>
    </w:p>
    <w:p>
      <w:pPr>
        <w:pStyle w:val="23"/>
      </w:pPr>
      <w:r>
        <w:t>Transfers to countries outside the EU require appropriate safeguards, including:</w:t>
      </w:r>
    </w:p>
    <w:p>
      <w:pPr>
        <w:pStyle w:val="24"/>
        <w:numPr>
          <w:ilvl w:val="0"/>
          <w:numId w:val="1"/>
        </w:numPr>
      </w:pPr>
      <w:r>
        <w:t>adequacy decisions,</w:t>
      </w:r>
    </w:p>
    <w:p>
      <w:pPr>
        <w:pStyle w:val="24"/>
        <w:numPr>
          <w:ilvl w:val="0"/>
          <w:numId w:val="1"/>
        </w:numPr>
      </w:pPr>
      <w:r>
        <w:t>Standard Contractual Clauses (SCCs),</w:t>
      </w:r>
    </w:p>
    <w:p>
      <w:pPr>
        <w:pStyle w:val="24"/>
        <w:numPr>
          <w:ilvl w:val="0"/>
          <w:numId w:val="1"/>
        </w:numPr>
      </w:pPr>
      <w:r>
        <w:t>Binding Corporate Rules.</w:t>
      </w:r>
    </w:p>
    <w:p>
      <w:pPr>
        <w:pStyle w:val="23"/>
      </w:pPr>
      <w:r>
        <w:t>Following the Schrems II decision, organizations must conduct ‘transfer impact assessments’ to evaluate foreign government access risks. Supplementary measures (e.g., encryption with EU-held keys) may be required eurlexTransfers.</w:t>
      </w:r>
    </w:p>
    <w:bookmarkEnd w:id="10"/>
    <w:p>
      <w:pPr>
        <w:pStyle w:val="4"/>
        <w:rPr>
          <w:b/>
          <w:bCs/>
          <w:color w:val="auto"/>
          <w:sz w:val="24"/>
          <w:szCs w:val="24"/>
        </w:rPr>
      </w:pPr>
      <w:bookmarkStart w:id="11" w:name="enforcement-examples"/>
      <w:r>
        <w:rPr>
          <w:b/>
          <w:bCs/>
          <w:color w:val="auto"/>
          <w:sz w:val="24"/>
          <w:szCs w:val="24"/>
        </w:rPr>
        <w:t>Enforcement Examples</w:t>
      </w:r>
    </w:p>
    <w:p>
      <w:pPr>
        <w:pStyle w:val="23"/>
      </w:pPr>
      <w:r>
        <w:t>Supervisory authorities have issued significant fines:</w:t>
      </w:r>
    </w:p>
    <w:p>
      <w:pPr>
        <w:pStyle w:val="3"/>
      </w:pPr>
      <w:r>
        <w:t>Google (CNIL, 2019). €50 million for insufficient transparency and invalid consent mechanisms cnilGoogle2019.</w:t>
      </w:r>
    </w:p>
    <w:p>
      <w:pPr>
        <w:pStyle w:val="3"/>
      </w:pPr>
      <w:r>
        <w:t>Amazon (CNPD, 2021-2025). €746 million for unlawful processing related to personalized advertising, upheld through multiple appeal stages reutersAmazon.</w:t>
      </w:r>
    </w:p>
    <w:p>
      <w:pPr>
        <w:pStyle w:val="3"/>
      </w:pPr>
      <w:r>
        <w:t>These cases demonstrate regulators’ willingness to challenge major platforms and highlight the importance of transparency, consent quality, and documentation.</w:t>
      </w:r>
    </w:p>
    <w:bookmarkEnd w:id="11"/>
    <w:p>
      <w:pPr>
        <w:pStyle w:val="4"/>
        <w:rPr>
          <w:b/>
          <w:bCs/>
          <w:color w:val="auto"/>
          <w:sz w:val="24"/>
          <w:szCs w:val="24"/>
        </w:rPr>
      </w:pPr>
      <w:bookmarkStart w:id="12" w:name="practical-compliance-strategies"/>
      <w:r>
        <w:rPr>
          <w:b/>
          <w:bCs/>
          <w:color w:val="auto"/>
          <w:sz w:val="24"/>
          <w:szCs w:val="24"/>
        </w:rPr>
        <w:t>Practical Compliance Strategies</w:t>
      </w:r>
    </w:p>
    <w:p>
      <w:pPr>
        <w:pStyle w:val="23"/>
      </w:pPr>
      <w:r>
        <w:t>Effective GDPR compliance requires a mix of governance structures, organizational processes, and technical controls:</w:t>
      </w:r>
    </w:p>
    <w:p>
      <w:pPr>
        <w:pStyle w:val="24"/>
        <w:numPr>
          <w:ilvl w:val="0"/>
          <w:numId w:val="1"/>
        </w:numPr>
      </w:pPr>
      <w:r>
        <w:t>appointing a Data Protection Officer when required,</w:t>
      </w:r>
    </w:p>
    <w:p>
      <w:pPr>
        <w:pStyle w:val="24"/>
        <w:numPr>
          <w:ilvl w:val="0"/>
          <w:numId w:val="1"/>
        </w:numPr>
      </w:pPr>
      <w:r>
        <w:t>maintaining Records of Processing Activities,</w:t>
      </w:r>
    </w:p>
    <w:p>
      <w:pPr>
        <w:pStyle w:val="24"/>
        <w:numPr>
          <w:ilvl w:val="0"/>
          <w:numId w:val="1"/>
        </w:numPr>
      </w:pPr>
      <w:r>
        <w:t>implementing technical safeguards (encryption, pseudonymization, access control),</w:t>
      </w:r>
    </w:p>
    <w:p>
      <w:pPr>
        <w:pStyle w:val="24"/>
        <w:numPr>
          <w:ilvl w:val="0"/>
          <w:numId w:val="1"/>
        </w:numPr>
      </w:pPr>
      <w:r>
        <w:t>performing regular DPIAs and transfer impact assessments,</w:t>
      </w:r>
    </w:p>
    <w:p>
      <w:pPr>
        <w:pStyle w:val="24"/>
        <w:numPr>
          <w:ilvl w:val="0"/>
          <w:numId w:val="1"/>
        </w:numPr>
      </w:pPr>
      <w:r>
        <w:t>training employees in privacy principles,</w:t>
      </w:r>
    </w:p>
    <w:p>
      <w:pPr>
        <w:pStyle w:val="24"/>
        <w:numPr>
          <w:ilvl w:val="0"/>
          <w:numId w:val="1"/>
        </w:numPr>
      </w:pPr>
      <w:r>
        <w:t>validating vendor compliance through contracts and audits,</w:t>
      </w:r>
    </w:p>
    <w:p>
      <w:pPr>
        <w:pStyle w:val="24"/>
        <w:numPr>
          <w:ilvl w:val="0"/>
          <w:numId w:val="1"/>
        </w:numPr>
      </w:pPr>
      <w:r>
        <w:t>establishing breach response frameworks.</w:t>
      </w:r>
    </w:p>
    <w:p>
      <w:pPr>
        <w:pStyle w:val="23"/>
      </w:pPr>
      <w:r>
        <w:t>Continuous monitoring is crucial because regulatory guidance evolves, case law expands, and operational practices may change as technologies develop.</w:t>
      </w:r>
    </w:p>
    <w:bookmarkEnd w:id="12"/>
    <w:p>
      <w:pPr>
        <w:pStyle w:val="4"/>
        <w:jc w:val="center"/>
        <w:rPr>
          <w:b/>
          <w:bCs/>
          <w:color w:val="auto"/>
        </w:rPr>
      </w:pPr>
      <w:bookmarkStart w:id="13" w:name="conclusion"/>
      <w:r>
        <w:rPr>
          <w:b/>
          <w:bCs/>
          <w:color w:val="auto"/>
        </w:rPr>
        <w:t>Conclusion</w:t>
      </w:r>
    </w:p>
    <w:p>
      <w:pPr>
        <w:pStyle w:val="23"/>
      </w:pPr>
      <w:r>
        <w:t>The GDPR continues to serve as the global benchmark for data protection. Its comprehensive set of rights, obligations, and enforcement mechanisms has reshaped how</w:t>
      </w:r>
    </w:p>
    <w:p>
      <w:pPr>
        <w:pStyle w:val="3"/>
      </w:pPr>
      <w:r>
        <w:t>organizations manage personal information. Compliance is not a one-time exercise but an ongoing process requiring transparency, accountability, and privacy-by-design practices. As regulatory expectations and enforcement trends evolve, organizations must remain vigilant and proactive to maintain trust and reduce legal risk.</w:t>
      </w:r>
    </w:p>
    <w:bookmarkEnd w:id="13"/>
    <w:p>
      <w:pPr>
        <w:pStyle w:val="4"/>
        <w:jc w:val="center"/>
        <w:rPr>
          <w:b/>
          <w:bCs/>
          <w:color w:val="auto"/>
        </w:rPr>
      </w:pPr>
      <w:bookmarkStart w:id="14" w:name="references"/>
      <w:r>
        <w:rPr>
          <w:b/>
          <w:bCs/>
          <w:color w:val="auto"/>
        </w:rPr>
        <w:t>References</w:t>
      </w:r>
    </w:p>
    <w:p>
      <w:pPr>
        <w:pStyle w:val="23"/>
      </w:pPr>
      <w:r>
        <w:t xml:space="preserve">European Data Protection Board. (2022). Guidelines 9/2022 on personal data breach notification . European Data Protection Board. (n.d.). Data protection basics and the six key principles . </w:t>
      </w:r>
    </w:p>
    <w:p>
      <w:pPr>
        <w:pStyle w:val="23"/>
      </w:pPr>
      <w:r>
        <w:t>European Parliament and Council. (2016). Regulation (EU) 2016/679 (General Data Protection Regulation) . EUR-Lex. Information Commissioner’s Office. (n.d.). Guide to personal data breaches .</w:t>
      </w:r>
    </w:p>
    <w:p>
      <w:pPr>
        <w:pStyle w:val="23"/>
      </w:pPr>
      <w:r>
        <w:t xml:space="preserve">CNIL. (2019). Decision on the €50 million penalty against Google LLC . </w:t>
      </w:r>
    </w:p>
    <w:p>
      <w:pPr>
        <w:pStyle w:val="23"/>
      </w:pPr>
      <w:r>
        <w:t xml:space="preserve">Reuters. (2021-2025). Coverage of the CNPD decision regarding Amazon’s €746 million GDPR fine. </w:t>
      </w:r>
    </w:p>
    <w:p>
      <w:pPr>
        <w:pStyle w:val="23"/>
      </w:pPr>
      <w:r>
        <w:t>The Guardian. (2018). Coverage of the British Airways data breach investigation.</w:t>
      </w:r>
    </w:p>
    <w:p>
      <w:pPr>
        <w:pStyle w:val="3"/>
      </w:pPr>
      <w:r>
        <w:t>Covington &amp; Burling LLP. (2020). GDPR enforcement trends and major case summaries . European Commission. (n.d.). International data transfers under GDPR .</w:t>
      </w:r>
    </w:p>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27F95369"/>
    <w:rsid w:val="3EFF5709"/>
    <w:rsid w:val="EEFD9E7C"/>
    <w:rsid w:val="F0FF78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9</TotalTime>
  <ScaleCrop>false</ScaleCrop>
  <LinksUpToDate>false</LinksUpToDate>
  <CharactersWithSpaces>583</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2025-11-25T12:45:00Z</dcterms:created>
  <dc:creator>johnwayne蒋</dc:creator>
  <cp:lastModifiedBy>johnwayne蒋</cp:lastModifiedBy>
  <dcterms:modified xsi:type="dcterms:W3CDTF">2025-11-25T13:00:40Z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1033-6.2.2.8394</vt:lpwstr>
  </property>
  <property fmtid="{D5CDD505-2E9C-101B-9397-08002B2CF9AE}" pid="3" name="ICV">
    <vt:lpwstr>2339C6BA1B06CC8002182669D9C1CC57_42</vt:lpwstr>
  </property>
</Properties>
</file>